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531C" w14:textId="77777777" w:rsidR="00FF2827" w:rsidRPr="00085427" w:rsidRDefault="00FF2827" w:rsidP="00FF2827">
      <w:pPr>
        <w:jc w:val="center"/>
        <w:rPr>
          <w:rFonts w:eastAsia="Times New Roman"/>
          <w:b/>
          <w:bCs/>
          <w:color w:val="000000"/>
          <w:u w:val="single"/>
          <w:lang w:bidi="he-IL"/>
        </w:rPr>
      </w:pPr>
      <w:bookmarkStart w:id="0" w:name="_GoBack"/>
      <w:bookmarkEnd w:id="0"/>
      <w:r w:rsidRPr="00085427">
        <w:rPr>
          <w:rFonts w:eastAsia="Times New Roman"/>
          <w:b/>
          <w:bCs/>
          <w:color w:val="000000"/>
          <w:u w:val="single"/>
          <w:lang w:bidi="he-IL"/>
        </w:rPr>
        <w:t xml:space="preserve">John </w:t>
      </w:r>
      <w:proofErr w:type="spellStart"/>
      <w:r w:rsidRPr="00085427">
        <w:rPr>
          <w:rFonts w:eastAsia="Times New Roman"/>
          <w:b/>
          <w:bCs/>
          <w:color w:val="000000"/>
          <w:u w:val="single"/>
          <w:lang w:bidi="he-IL"/>
        </w:rPr>
        <w:t>Lydus</w:t>
      </w:r>
      <w:proofErr w:type="spellEnd"/>
      <w:r w:rsidRPr="00085427">
        <w:rPr>
          <w:rFonts w:eastAsia="Times New Roman"/>
          <w:b/>
          <w:bCs/>
          <w:color w:val="000000"/>
          <w:u w:val="single"/>
          <w:lang w:bidi="he-IL"/>
        </w:rPr>
        <w:t xml:space="preserve">, </w:t>
      </w:r>
      <w:r w:rsidRPr="00085427">
        <w:rPr>
          <w:rFonts w:eastAsia="Times New Roman"/>
          <w:b/>
          <w:bCs/>
          <w:i/>
          <w:iCs/>
          <w:color w:val="000000"/>
          <w:u w:val="single"/>
          <w:lang w:bidi="he-IL"/>
        </w:rPr>
        <w:t xml:space="preserve">De </w:t>
      </w:r>
      <w:proofErr w:type="spellStart"/>
      <w:r w:rsidRPr="00085427">
        <w:rPr>
          <w:rFonts w:eastAsia="Times New Roman"/>
          <w:b/>
          <w:bCs/>
          <w:i/>
          <w:iCs/>
          <w:color w:val="000000"/>
          <w:u w:val="single"/>
          <w:lang w:bidi="he-IL"/>
        </w:rPr>
        <w:t>Mensibus</w:t>
      </w:r>
      <w:proofErr w:type="spellEnd"/>
      <w:r w:rsidRPr="00085427">
        <w:rPr>
          <w:rFonts w:eastAsia="Times New Roman"/>
          <w:b/>
          <w:bCs/>
          <w:color w:val="000000"/>
          <w:u w:val="single"/>
          <w:lang w:bidi="he-IL"/>
        </w:rPr>
        <w:t xml:space="preserve"> (Book 4)</w:t>
      </w:r>
    </w:p>
    <w:p w14:paraId="5417162A" w14:textId="77777777" w:rsidR="00FF2827" w:rsidRPr="00085427" w:rsidRDefault="00FF2827" w:rsidP="00FF2827">
      <w:pPr>
        <w:rPr>
          <w:rFonts w:eastAsia="Times New Roman"/>
          <w:color w:val="000000"/>
          <w:lang w:bidi="he-IL"/>
        </w:rPr>
      </w:pPr>
    </w:p>
    <w:p w14:paraId="14BA1D8E" w14:textId="77777777" w:rsidR="00FF2827" w:rsidRDefault="00FF2827" w:rsidP="00FF2827">
      <w:r>
        <w:t>[</w:t>
      </w:r>
      <w:r w:rsidR="00027AA7">
        <w:t>136</w:t>
      </w:r>
      <w:r>
        <w:t>]</w:t>
      </w:r>
    </w:p>
    <w:p w14:paraId="430C9153" w14:textId="77777777" w:rsidR="00FF2827" w:rsidRDefault="00FF2827" w:rsidP="00FF2827">
      <w:r>
        <w:t>JUNE</w:t>
      </w:r>
    </w:p>
    <w:p w14:paraId="542FF498" w14:textId="77777777" w:rsidR="00FF2827" w:rsidRDefault="00FF2827" w:rsidP="00FF2827"/>
    <w:p w14:paraId="4EC74415" w14:textId="77777777" w:rsidR="00027AA7" w:rsidRDefault="00027AA7" w:rsidP="00027AA7">
      <w:pPr>
        <w:ind w:firstLine="720"/>
      </w:pPr>
      <w:r>
        <w:t xml:space="preserve">88. So then, the fifth month having been arranged in this way by King </w:t>
      </w:r>
      <w:proofErr w:type="spellStart"/>
      <w:r>
        <w:t>Numa</w:t>
      </w:r>
      <w:proofErr w:type="spellEnd"/>
      <w:r>
        <w:t xml:space="preserve">, it only remained then for the sixth to be set apart in honor of the youth—for they call the younger people </w:t>
      </w:r>
      <w:proofErr w:type="spellStart"/>
      <w:r>
        <w:rPr>
          <w:i/>
        </w:rPr>
        <w:t>iuniores</w:t>
      </w:r>
      <w:proofErr w:type="spellEnd"/>
      <w:r>
        <w:t>.  It is fitting, you see, as Plato says, for the state to be administered by the counsel of the old men and by the courage of the younger men.</w:t>
      </w:r>
      <w:r w:rsidR="00BD4A3E">
        <w:rPr>
          <w:rStyle w:val="FootnoteReference"/>
        </w:rPr>
        <w:footnoteReference w:id="1"/>
      </w:r>
      <w:r>
        <w:t xml:space="preserve">  And it is not without reason, clearly, that he allotte</w:t>
      </w:r>
      <w:r w:rsidR="00052E46">
        <w:t>d the number six to this</w:t>
      </w:r>
      <w:r>
        <w:t>.</w:t>
      </w:r>
      <w:r w:rsidR="00052E46">
        <w:rPr>
          <w:rStyle w:val="FootnoteReference"/>
        </w:rPr>
        <w:footnoteReference w:id="2"/>
      </w:r>
      <w:r>
        <w:t xml:space="preserve">  </w:t>
      </w:r>
      <w:proofErr w:type="gramStart"/>
      <w:r>
        <w:t xml:space="preserve">For this [number] is life-generating, being constituted out of itself, from the </w:t>
      </w:r>
      <w:r>
        <w:rPr>
          <w:i/>
        </w:rPr>
        <w:t xml:space="preserve">monad </w:t>
      </w:r>
      <w:r>
        <w:t xml:space="preserve">in sequence up to the </w:t>
      </w:r>
      <w:r>
        <w:rPr>
          <w:i/>
        </w:rPr>
        <w:t>triad</w:t>
      </w:r>
      <w:r>
        <w:t>,</w:t>
      </w:r>
      <w:r>
        <w:rPr>
          <w:rStyle w:val="FootnoteReference"/>
        </w:rPr>
        <w:footnoteReference w:id="3"/>
      </w:r>
      <w:r>
        <w:t xml:space="preserve"> and being self-sufficient.</w:t>
      </w:r>
      <w:proofErr w:type="gramEnd"/>
      <w:r>
        <w:t xml:space="preserve">  And for this reason Pythagoras dedicated this [number] to the first of the Fates.</w:t>
      </w:r>
    </w:p>
    <w:p w14:paraId="4D8BC3CD" w14:textId="77777777" w:rsidR="00027AA7" w:rsidRDefault="00027AA7" w:rsidP="00027AA7">
      <w:pPr>
        <w:ind w:firstLine="720"/>
      </w:pPr>
    </w:p>
    <w:p w14:paraId="05E37814" w14:textId="77777777" w:rsidR="00027AA7" w:rsidRDefault="00027AA7" w:rsidP="00027AA7">
      <w:pPr>
        <w:ind w:firstLine="720"/>
      </w:pPr>
      <w:r>
        <w:t xml:space="preserve">89.  On the </w:t>
      </w:r>
      <w:proofErr w:type="spellStart"/>
      <w:r>
        <w:t>Kalends</w:t>
      </w:r>
      <w:proofErr w:type="spellEnd"/>
      <w:r>
        <w:t xml:space="preserve"> of June</w:t>
      </w:r>
      <w:r w:rsidR="00C64825">
        <w:rPr>
          <w:rStyle w:val="FootnoteReference"/>
        </w:rPr>
        <w:footnoteReference w:id="4"/>
      </w:r>
      <w:r>
        <w:t xml:space="preserve"> [there is] a festival of Hera and prayers on [137] the Capitol.</w:t>
      </w:r>
      <w:r w:rsidR="00BB4905">
        <w:rPr>
          <w:rStyle w:val="FootnoteReference"/>
        </w:rPr>
        <w:footnoteReference w:id="5"/>
      </w:r>
      <w:r>
        <w:t xml:space="preserve">  All the Romans together take a taste of cold water at dawn, to ward off all manner of sickness, and especially gout—as the oracle desired—and so that there be no twin or monstrous births.  This sort of custom was introduced under Hadrian, when there had been sent to him an Egyptian woman who related that on four days at irregular intervals she had given birth to four [children], then a fifth after 40 days,</w:t>
      </w:r>
      <w:r w:rsidR="005C2BBB">
        <w:rPr>
          <w:rStyle w:val="FootnoteReference"/>
        </w:rPr>
        <w:footnoteReference w:id="6"/>
      </w:r>
      <w:r>
        <w:t xml:space="preserve"> in accordance with Aristotle who says that</w:t>
      </w:r>
      <w:r w:rsidR="00234D81">
        <w:t xml:space="preserve"> [once] 20 </w:t>
      </w:r>
      <w:proofErr w:type="gramStart"/>
      <w:r w:rsidR="00234D81">
        <w:t>offspring</w:t>
      </w:r>
      <w:proofErr w:type="gramEnd"/>
      <w:r w:rsidR="00234D81">
        <w:t xml:space="preserve"> were conceived,</w:t>
      </w:r>
      <w:r>
        <w:t xml:space="preserve"> in four pregnancies.</w:t>
      </w:r>
      <w:r>
        <w:rPr>
          <w:rStyle w:val="FootnoteReference"/>
        </w:rPr>
        <w:footnoteReference w:id="7"/>
      </w:r>
      <w:r>
        <w:t xml:space="preserve">  And </w:t>
      </w:r>
      <w:proofErr w:type="spellStart"/>
      <w:r>
        <w:t>Heraclides</w:t>
      </w:r>
      <w:proofErr w:type="spellEnd"/>
      <w:r w:rsidR="000B26F7">
        <w:rPr>
          <w:rStyle w:val="FootnoteReference"/>
        </w:rPr>
        <w:footnoteReference w:id="8"/>
      </w:r>
      <w:r>
        <w:t xml:space="preserve"> says that this happens whenever ejaculation hits the mark in the opening twice or three times, </w:t>
      </w:r>
      <w:r w:rsidR="00FC6490">
        <w:t>from self-control</w:t>
      </w:r>
      <w:r>
        <w:t>,</w:t>
      </w:r>
      <w:r w:rsidR="00961ACC">
        <w:rPr>
          <w:rStyle w:val="FootnoteReference"/>
        </w:rPr>
        <w:footnoteReference w:id="9"/>
      </w:r>
      <w:r>
        <w:t xml:space="preserve"> or even when the womb </w:t>
      </w:r>
      <w:r w:rsidR="00FC6490">
        <w:t>has been</w:t>
      </w:r>
      <w:r>
        <w:t xml:space="preserve"> opened after the prior formation [of an embryo], as </w:t>
      </w:r>
      <w:r w:rsidR="00FC6490">
        <w:t>many times</w:t>
      </w:r>
      <w:r>
        <w:t xml:space="preserve"> as the </w:t>
      </w:r>
      <w:r w:rsidR="00FC6490">
        <w:t>offspring</w:t>
      </w:r>
      <w:r w:rsidR="000B26F7">
        <w:t xml:space="preserve"> is numbered</w:t>
      </w:r>
      <w:r>
        <w:t>.</w:t>
      </w:r>
      <w:r w:rsidR="006C628F">
        <w:rPr>
          <w:rStyle w:val="FootnoteReference"/>
        </w:rPr>
        <w:footnoteReference w:id="10"/>
      </w:r>
    </w:p>
    <w:p w14:paraId="02823A43" w14:textId="77777777" w:rsidR="00027AA7" w:rsidRDefault="00027AA7" w:rsidP="00027AA7">
      <w:pPr>
        <w:ind w:firstLine="720"/>
      </w:pPr>
    </w:p>
    <w:p w14:paraId="5901C925" w14:textId="77777777" w:rsidR="00027AA7" w:rsidRDefault="00027AA7" w:rsidP="00027AA7">
      <w:pPr>
        <w:ind w:firstLine="720"/>
      </w:pPr>
      <w:r>
        <w:t>June is unsuitable for weddings, as the books of the Roman priests say.  The account is true, and there is every necessity that a marriage occurring at this time loses [the] younger [one]—and I have experienced this outcome myself, having lost my deare</w:t>
      </w:r>
      <w:r w:rsidR="000B26F7">
        <w:t>st wife most suddenly</w:t>
      </w:r>
      <w:r>
        <w:t>.</w:t>
      </w:r>
      <w:r w:rsidR="000B26F7">
        <w:rPr>
          <w:rStyle w:val="FootnoteReference"/>
        </w:rPr>
        <w:footnoteReference w:id="11"/>
      </w:r>
      <w:r>
        <w:t xml:space="preserve">  And for three days, it was not permitted for women to have their hair or their nails cut.</w:t>
      </w:r>
      <w:r w:rsidR="00816C45">
        <w:t xml:space="preserve"> [138]</w:t>
      </w:r>
    </w:p>
    <w:p w14:paraId="348E821C" w14:textId="77777777" w:rsidR="00027AA7" w:rsidRDefault="00027AA7" w:rsidP="00027AA7">
      <w:pPr>
        <w:ind w:firstLine="720"/>
      </w:pPr>
    </w:p>
    <w:p w14:paraId="5A224BB4" w14:textId="77777777" w:rsidR="00027AA7" w:rsidRDefault="00027AA7" w:rsidP="00027AA7">
      <w:pPr>
        <w:ind w:firstLine="720"/>
      </w:pPr>
      <w:r>
        <w:t xml:space="preserve">90.  The [word] </w:t>
      </w:r>
      <w:proofErr w:type="spellStart"/>
      <w:r>
        <w:rPr>
          <w:i/>
        </w:rPr>
        <w:t>Sancus</w:t>
      </w:r>
      <w:proofErr w:type="spellEnd"/>
      <w:r>
        <w:t xml:space="preserve"> signifies "sky" in the Sabine language.</w:t>
      </w:r>
      <w:r w:rsidR="00E662F1">
        <w:rPr>
          <w:rStyle w:val="FootnoteReference"/>
        </w:rPr>
        <w:footnoteReference w:id="12"/>
      </w:r>
    </w:p>
    <w:p w14:paraId="70BF28EE" w14:textId="77777777" w:rsidR="00027AA7" w:rsidRDefault="00027AA7" w:rsidP="00027AA7">
      <w:pPr>
        <w:ind w:firstLine="720"/>
      </w:pPr>
    </w:p>
    <w:p w14:paraId="70922BEB" w14:textId="77777777" w:rsidR="00027AA7" w:rsidRDefault="00027AA7" w:rsidP="00027AA7">
      <w:pPr>
        <w:ind w:firstLine="720"/>
      </w:pPr>
      <w:r>
        <w:t xml:space="preserve">91.  Not for no reason do the Hebrews abstain from the hare and the </w:t>
      </w:r>
      <w:r w:rsidR="00756716">
        <w:t>"</w:t>
      </w:r>
      <w:r>
        <w:t>Li</w:t>
      </w:r>
      <w:r w:rsidR="00756716">
        <w:t>byan sparrow" [i.e., the ostrich</w:t>
      </w:r>
      <w:r>
        <w:t>] and the "thick-knee" [bird].</w:t>
      </w:r>
      <w:r w:rsidR="00961ACC">
        <w:rPr>
          <w:rStyle w:val="FootnoteReference"/>
        </w:rPr>
        <w:footnoteReference w:id="13"/>
      </w:r>
      <w:r>
        <w:t xml:space="preserve">  For—amazingly—the male hare is able by nature to give birth; and the Libyan sparrow is neither a sparrow nor a quadruped—nor even a complete bird; and </w:t>
      </w:r>
      <w:proofErr w:type="gramStart"/>
      <w:r>
        <w:t>no one who eats a "thick-knee" does not regret [it]</w:t>
      </w:r>
      <w:proofErr w:type="gramEnd"/>
      <w:r>
        <w:t>.</w:t>
      </w:r>
    </w:p>
    <w:p w14:paraId="32ABC125" w14:textId="77777777" w:rsidR="00027AA7" w:rsidRDefault="00027AA7" w:rsidP="00027AA7">
      <w:pPr>
        <w:ind w:firstLine="720"/>
      </w:pPr>
    </w:p>
    <w:p w14:paraId="021D7C24" w14:textId="77777777" w:rsidR="00027AA7" w:rsidRDefault="00027AA7" w:rsidP="00027AA7">
      <w:pPr>
        <w:ind w:firstLine="720"/>
      </w:pPr>
      <w:r>
        <w:t>92. For "oily"</w:t>
      </w:r>
      <w:r w:rsidR="00632E8C">
        <w:t xml:space="preserve"> [</w:t>
      </w:r>
      <w:proofErr w:type="spellStart"/>
      <w:r w:rsidR="00632E8C">
        <w:rPr>
          <w:i/>
        </w:rPr>
        <w:t>liparos</w:t>
      </w:r>
      <w:proofErr w:type="spellEnd"/>
      <w:r w:rsidR="00632E8C">
        <w:t>]</w:t>
      </w:r>
      <w:r>
        <w:t xml:space="preserve"> [some say] "fatty" [</w:t>
      </w:r>
      <w:proofErr w:type="spellStart"/>
      <w:r>
        <w:rPr>
          <w:i/>
        </w:rPr>
        <w:t>larinos</w:t>
      </w:r>
      <w:proofErr w:type="spellEnd"/>
      <w:r>
        <w:t xml:space="preserve">], from which [term] also [comes] </w:t>
      </w:r>
      <w:proofErr w:type="spellStart"/>
      <w:r>
        <w:rPr>
          <w:i/>
        </w:rPr>
        <w:t>lardos</w:t>
      </w:r>
      <w:proofErr w:type="spellEnd"/>
      <w:r>
        <w:t xml:space="preserve"> ["</w:t>
      </w:r>
      <w:r w:rsidR="00632E8C">
        <w:t>pork-fat"</w:t>
      </w:r>
      <w:r>
        <w:t xml:space="preserve">].  But different people [explain this] differently / [make] different </w:t>
      </w:r>
      <w:r w:rsidR="00796BC5">
        <w:t>[assertions].</w:t>
      </w:r>
      <w:r w:rsidR="003851B5">
        <w:rPr>
          <w:rStyle w:val="FootnoteReference"/>
        </w:rPr>
        <w:footnoteReference w:id="14"/>
      </w:r>
    </w:p>
    <w:p w14:paraId="4030206F" w14:textId="77777777" w:rsidR="00027AA7" w:rsidRDefault="00027AA7" w:rsidP="00027AA7">
      <w:pPr>
        <w:ind w:firstLine="720"/>
      </w:pPr>
    </w:p>
    <w:p w14:paraId="11591460" w14:textId="77777777" w:rsidR="00027AA7" w:rsidRDefault="00027AA7" w:rsidP="00027AA7">
      <w:pPr>
        <w:ind w:firstLine="720"/>
      </w:pPr>
      <w:r>
        <w:t>93. They say that the Fates</w:t>
      </w:r>
      <w:r w:rsidR="00816C45">
        <w:t xml:space="preserve">, </w:t>
      </w:r>
      <w:proofErr w:type="spellStart"/>
      <w:r w:rsidR="00816C45">
        <w:t>Lachesis</w:t>
      </w:r>
      <w:proofErr w:type="spellEnd"/>
      <w:r w:rsidR="00816C45">
        <w:t xml:space="preserve"> and </w:t>
      </w:r>
      <w:proofErr w:type="spellStart"/>
      <w:r w:rsidR="00816C45">
        <w:t>Clotho</w:t>
      </w:r>
      <w:proofErr w:type="spellEnd"/>
      <w:r w:rsidR="00816C45">
        <w:t xml:space="preserve"> &lt;and Atropos&gt;, are the daughters of Necessity, &lt;and that </w:t>
      </w:r>
      <w:proofErr w:type="spellStart"/>
      <w:r w:rsidR="00816C45">
        <w:t>Lachesis</w:t>
      </w:r>
      <w:proofErr w:type="spellEnd"/>
      <w:r w:rsidR="00816C45">
        <w:t xml:space="preserve"> administers the past, </w:t>
      </w:r>
      <w:proofErr w:type="spellStart"/>
      <w:r w:rsidR="00816C45">
        <w:t>Clotho</w:t>
      </w:r>
      <w:proofErr w:type="spellEnd"/>
      <w:r w:rsidR="00816C45">
        <w:t>&gt; the present, and Atropos the future.</w:t>
      </w:r>
    </w:p>
    <w:p w14:paraId="216F6D62" w14:textId="77777777" w:rsidR="00816C45" w:rsidRDefault="00816C45" w:rsidP="00027AA7">
      <w:pPr>
        <w:ind w:firstLine="720"/>
      </w:pPr>
    </w:p>
    <w:p w14:paraId="4AC41F85" w14:textId="77777777" w:rsidR="00816C45" w:rsidRDefault="00225D43" w:rsidP="00027AA7">
      <w:pPr>
        <w:ind w:firstLine="720"/>
      </w:pPr>
      <w:r>
        <w:t>94. On the fif</w:t>
      </w:r>
      <w:r w:rsidR="00816C45">
        <w:t>th day before the Ides of June,</w:t>
      </w:r>
      <w:r w:rsidR="00C64825">
        <w:rPr>
          <w:rStyle w:val="FootnoteReference"/>
        </w:rPr>
        <w:footnoteReference w:id="15"/>
      </w:r>
      <w:r w:rsidR="00816C45">
        <w:t xml:space="preserve"> [there was] a festival of Hestia.  On this day the bread-makers would keep festival, on account of the fact that the ancient [bread-makers] prepared bread in the shrines of Hestia.  Garlanded donkeys were at the head of the procession, because the grain is ground by them.</w:t>
      </w:r>
    </w:p>
    <w:p w14:paraId="60F9FFC4" w14:textId="77777777" w:rsidR="00816C45" w:rsidRDefault="00816C45" w:rsidP="00027AA7">
      <w:pPr>
        <w:ind w:firstLine="720"/>
      </w:pPr>
    </w:p>
    <w:p w14:paraId="71D5E2DC" w14:textId="77777777" w:rsidR="00816C45" w:rsidRDefault="00816C45" w:rsidP="00027AA7">
      <w:pPr>
        <w:ind w:firstLine="720"/>
      </w:pPr>
      <w:r>
        <w:t xml:space="preserve">The natural [philosophers] assert that Hestia is the earth, [so called] from its </w:t>
      </w:r>
      <w:r>
        <w:rPr>
          <w:i/>
        </w:rPr>
        <w:t>standing</w:t>
      </w:r>
      <w:r>
        <w:t xml:space="preserve"> [</w:t>
      </w:r>
      <w:proofErr w:type="spellStart"/>
      <w:r>
        <w:rPr>
          <w:i/>
          <w:u w:val="single"/>
        </w:rPr>
        <w:t>hest</w:t>
      </w:r>
      <w:r>
        <w:rPr>
          <w:i/>
        </w:rPr>
        <w:t>anai</w:t>
      </w:r>
      <w:proofErr w:type="spellEnd"/>
      <w:r>
        <w:t>]; but the theologians assert that she is so-called "being-ness."</w:t>
      </w:r>
      <w:r>
        <w:rPr>
          <w:rStyle w:val="FootnoteReference"/>
        </w:rPr>
        <w:footnoteReference w:id="16"/>
      </w:r>
      <w:r>
        <w:t xml:space="preserve">  As witness, Socrates in the </w:t>
      </w:r>
      <w:proofErr w:type="spellStart"/>
      <w:r>
        <w:rPr>
          <w:i/>
        </w:rPr>
        <w:t>Cratylus</w:t>
      </w:r>
      <w:proofErr w:type="spellEnd"/>
      <w:r>
        <w:t xml:space="preserve"> says that Hestia is "primal-source-being" [</w:t>
      </w:r>
      <w:proofErr w:type="spellStart"/>
      <w:r>
        <w:rPr>
          <w:i/>
        </w:rPr>
        <w:t>pêgaia</w:t>
      </w:r>
      <w:proofErr w:type="spellEnd"/>
      <w:r>
        <w:rPr>
          <w:i/>
        </w:rPr>
        <w:t xml:space="preserve"> </w:t>
      </w:r>
      <w:proofErr w:type="spellStart"/>
      <w:r>
        <w:rPr>
          <w:i/>
        </w:rPr>
        <w:t>ousia</w:t>
      </w:r>
      <w:proofErr w:type="spellEnd"/>
      <w:r>
        <w:t>], being situated in the Father.</w:t>
      </w:r>
      <w:r>
        <w:rPr>
          <w:rStyle w:val="FootnoteReference"/>
        </w:rPr>
        <w:footnoteReference w:id="17"/>
      </w:r>
      <w:r>
        <w:t xml:space="preserve">  But Porphyry claims that </w:t>
      </w:r>
      <w:r>
        <w:rPr>
          <w:i/>
        </w:rPr>
        <w:t>after</w:t>
      </w:r>
      <w:r>
        <w:t xml:space="preserve"> the intelligible Hestia—that is, "being-ness"—[there is] also the overseer of the earth (and they call it </w:t>
      </w:r>
      <w:proofErr w:type="spellStart"/>
      <w:r>
        <w:rPr>
          <w:i/>
        </w:rPr>
        <w:t>chthôn</w:t>
      </w:r>
      <w:proofErr w:type="spellEnd"/>
      <w:r>
        <w:t>) [139]:  a Hestia with the same name as the former.  He speaks as follows:  "And on the one han</w:t>
      </w:r>
      <w:r w:rsidR="00796BC5">
        <w:t>d</w:t>
      </w:r>
      <w:r>
        <w:t>, the ruling principle of the divine potentiality has been called Hestia—whose maidenly image is placed at the hearth [</w:t>
      </w:r>
      <w:proofErr w:type="spellStart"/>
      <w:proofErr w:type="gramStart"/>
      <w:r>
        <w:rPr>
          <w:i/>
        </w:rPr>
        <w:t>hestia</w:t>
      </w:r>
      <w:proofErr w:type="spellEnd"/>
      <w:proofErr w:type="gramEnd"/>
      <w:r>
        <w:t xml:space="preserve">]; and </w:t>
      </w:r>
      <w:r>
        <w:lastRenderedPageBreak/>
        <w:t xml:space="preserve">in as much as the potentiality is </w:t>
      </w:r>
      <w:r>
        <w:rPr>
          <w:i/>
        </w:rPr>
        <w:t>generative</w:t>
      </w:r>
      <w:r>
        <w:t>, they signify it by the form of a large-breasted woman."</w:t>
      </w:r>
      <w:r w:rsidR="000F28AE">
        <w:rPr>
          <w:rStyle w:val="FootnoteReference"/>
        </w:rPr>
        <w:footnoteReference w:id="18"/>
      </w:r>
      <w:r>
        <w:t xml:space="preserve">  But they </w:t>
      </w:r>
      <w:r>
        <w:rPr>
          <w:i/>
        </w:rPr>
        <w:t>hierophants</w:t>
      </w:r>
      <w:r>
        <w:t xml:space="preserve"> of the Romans claim that she is nothing other than the earth.</w:t>
      </w:r>
      <w:r w:rsidR="007540E7">
        <w:rPr>
          <w:rStyle w:val="FootnoteReference"/>
        </w:rPr>
        <w:footnoteReference w:id="19"/>
      </w:r>
    </w:p>
    <w:p w14:paraId="356CF7E6" w14:textId="77777777" w:rsidR="00816C45" w:rsidRDefault="00816C45" w:rsidP="00027AA7">
      <w:pPr>
        <w:ind w:firstLine="720"/>
      </w:pPr>
    </w:p>
    <w:p w14:paraId="306F14A3" w14:textId="77777777" w:rsidR="00816C45" w:rsidRPr="00225D43" w:rsidRDefault="00816C45" w:rsidP="00027AA7">
      <w:pPr>
        <w:ind w:firstLine="720"/>
      </w:pPr>
      <w:r>
        <w:t xml:space="preserve">95.  Before the great flood, they say, Sicily was not an island as [it is] today, but was a promontory attached to [what was] later [called] Italy.  From the surge of the deluge's currents, however, the island was jarred and moved away from its foundations; and for this reason, the part of Italy from which it broke off was named </w:t>
      </w:r>
      <w:proofErr w:type="spellStart"/>
      <w:r>
        <w:t>Rhegium</w:t>
      </w:r>
      <w:proofErr w:type="spellEnd"/>
      <w:r>
        <w:t>, from the "breaking</w:t>
      </w:r>
      <w:r w:rsidR="00225D43">
        <w:t>."</w:t>
      </w:r>
      <w:r w:rsidR="00225D43">
        <w:rPr>
          <w:rStyle w:val="FootnoteReference"/>
        </w:rPr>
        <w:footnoteReference w:id="20"/>
      </w:r>
      <w:r w:rsidR="00225D43">
        <w:t xml:space="preserve">  And formerly, Sicily was called </w:t>
      </w:r>
      <w:proofErr w:type="spellStart"/>
      <w:r w:rsidR="00225D43">
        <w:rPr>
          <w:i/>
        </w:rPr>
        <w:t>Sicania</w:t>
      </w:r>
      <w:proofErr w:type="spellEnd"/>
      <w:r w:rsidR="00225D43">
        <w:t xml:space="preserve">.  Italy contained these nine provinces:  Campania, Apulia, </w:t>
      </w:r>
      <w:proofErr w:type="spellStart"/>
      <w:r w:rsidR="00225D43">
        <w:t>Thuscia</w:t>
      </w:r>
      <w:proofErr w:type="spellEnd"/>
      <w:r w:rsidR="00225D43">
        <w:t xml:space="preserve"> [i.e., Tuscany], Calabria, Umbria, Dalmatia, </w:t>
      </w:r>
      <w:proofErr w:type="spellStart"/>
      <w:r w:rsidR="00225D43">
        <w:t>Lucania</w:t>
      </w:r>
      <w:proofErr w:type="spellEnd"/>
      <w:r w:rsidR="00225D43">
        <w:t xml:space="preserve">, </w:t>
      </w:r>
      <w:proofErr w:type="spellStart"/>
      <w:r w:rsidR="00225D43">
        <w:t>Brettia</w:t>
      </w:r>
      <w:proofErr w:type="spellEnd"/>
      <w:r w:rsidR="00225D43">
        <w:t xml:space="preserve"> [i.e., Bruttium], and Sicily.</w:t>
      </w:r>
    </w:p>
    <w:p w14:paraId="30778224" w14:textId="77777777" w:rsidR="00027AA7" w:rsidRDefault="00027AA7" w:rsidP="00225D43"/>
    <w:p w14:paraId="73C85925" w14:textId="77777777" w:rsidR="00027AA7" w:rsidRDefault="00027AA7" w:rsidP="00027AA7">
      <w:pPr>
        <w:ind w:firstLine="720"/>
      </w:pPr>
      <w:r>
        <w:t xml:space="preserve">96.  …to </w:t>
      </w:r>
      <w:proofErr w:type="spellStart"/>
      <w:r>
        <w:t>Prusias</w:t>
      </w:r>
      <w:proofErr w:type="spellEnd"/>
      <w:r>
        <w:t xml:space="preserve"> king of Bithynia.</w:t>
      </w:r>
    </w:p>
    <w:p w14:paraId="6810D7E0" w14:textId="77777777" w:rsidR="00027AA7" w:rsidRDefault="00027AA7" w:rsidP="00027AA7">
      <w:pPr>
        <w:ind w:firstLine="720"/>
      </w:pPr>
    </w:p>
    <w:p w14:paraId="69369AE4" w14:textId="77777777" w:rsidR="00F600DE" w:rsidRDefault="003851B5" w:rsidP="00027AA7">
      <w:pPr>
        <w:ind w:firstLine="720"/>
      </w:pPr>
      <w:r>
        <w:t xml:space="preserve">97.  Among the Pythagoreans, the </w:t>
      </w:r>
      <w:r>
        <w:rPr>
          <w:i/>
        </w:rPr>
        <w:t>dyad</w:t>
      </w:r>
      <w:r>
        <w:t xml:space="preserve"> (since it provides a sort of position and "ladder" for number) is called </w:t>
      </w:r>
      <w:proofErr w:type="spellStart"/>
      <w:r>
        <w:rPr>
          <w:i/>
        </w:rPr>
        <w:t>eleusinê</w:t>
      </w:r>
      <w:proofErr w:type="spellEnd"/>
      <w:r>
        <w:t>,</w:t>
      </w:r>
      <w:r w:rsidR="00543588">
        <w:rPr>
          <w:rStyle w:val="FootnoteReference"/>
        </w:rPr>
        <w:footnoteReference w:id="21"/>
      </w:r>
      <w:r>
        <w:t xml:space="preserve"> in that it supplies the forward movement [</w:t>
      </w:r>
      <w:proofErr w:type="spellStart"/>
      <w:r w:rsidRPr="003851B5">
        <w:rPr>
          <w:i/>
        </w:rPr>
        <w:t>pro</w:t>
      </w:r>
      <w:r w:rsidRPr="003851B5">
        <w:rPr>
          <w:i/>
          <w:u w:val="single"/>
        </w:rPr>
        <w:t>eleus</w:t>
      </w:r>
      <w:r w:rsidRPr="003851B5">
        <w:rPr>
          <w:i/>
        </w:rPr>
        <w:t>is</w:t>
      </w:r>
      <w:proofErr w:type="spellEnd"/>
      <w:r>
        <w:t>] toward the more numerous and unbounded.</w:t>
      </w:r>
    </w:p>
    <w:p w14:paraId="6EE119F5" w14:textId="77777777" w:rsidR="00543588" w:rsidRDefault="00543588" w:rsidP="00027AA7">
      <w:pPr>
        <w:ind w:firstLine="720"/>
      </w:pPr>
    </w:p>
    <w:p w14:paraId="4CADB2E1" w14:textId="77777777" w:rsidR="00543588" w:rsidRDefault="00543588" w:rsidP="00027AA7">
      <w:pPr>
        <w:ind w:firstLine="720"/>
      </w:pPr>
      <w:r>
        <w:t xml:space="preserve">98.  </w:t>
      </w:r>
      <w:proofErr w:type="spellStart"/>
      <w:r>
        <w:t>Eudemus</w:t>
      </w:r>
      <w:proofErr w:type="spellEnd"/>
      <w:r>
        <w:rPr>
          <w:rStyle w:val="FootnoteReference"/>
        </w:rPr>
        <w:footnoteReference w:id="22"/>
      </w:r>
      <w:r>
        <w:t xml:space="preserve"> says that at </w:t>
      </w:r>
      <w:proofErr w:type="spellStart"/>
      <w:r>
        <w:t>Peltae</w:t>
      </w:r>
      <w:proofErr w:type="spellEnd"/>
      <w:r>
        <w:t xml:space="preserve"> in Phrygia there was once a four-faced stone, which, when there was no wind, the farmers would lift with wooden [poles] placed underneath it—and they would produce winds.  And the more the stone was raised up,</w:t>
      </w:r>
      <w:r w:rsidR="00794E99">
        <w:rPr>
          <w:rStyle w:val="FootnoteReference"/>
        </w:rPr>
        <w:footnoteReference w:id="23"/>
      </w:r>
      <w:r>
        <w:t xml:space="preserve"> the more powerfully they roused the winds. [140] </w:t>
      </w:r>
      <w:proofErr w:type="gramStart"/>
      <w:r>
        <w:t>And</w:t>
      </w:r>
      <w:proofErr w:type="gramEnd"/>
      <w:r>
        <w:t xml:space="preserve"> then again, they would place the stone on the ground, and there would be calm.</w:t>
      </w:r>
    </w:p>
    <w:p w14:paraId="3EB44AB7" w14:textId="77777777" w:rsidR="00543588" w:rsidRDefault="00543588" w:rsidP="00027AA7">
      <w:pPr>
        <w:ind w:firstLine="720"/>
      </w:pPr>
    </w:p>
    <w:p w14:paraId="25A31451" w14:textId="77777777" w:rsidR="00543588" w:rsidRDefault="00543588" w:rsidP="00027AA7">
      <w:pPr>
        <w:ind w:firstLine="720"/>
      </w:pPr>
      <w:r>
        <w:t>99. The poets call minds with understanding "black"—that is, deep; for blackness goes along with depth.  For this same reason Pindar calls minds without understanding "white."</w:t>
      </w:r>
      <w:r>
        <w:rPr>
          <w:rStyle w:val="FootnoteReference"/>
        </w:rPr>
        <w:footnoteReference w:id="24"/>
      </w:r>
    </w:p>
    <w:p w14:paraId="7C4F25FD" w14:textId="77777777" w:rsidR="003851B5" w:rsidRDefault="003851B5" w:rsidP="00027AA7">
      <w:pPr>
        <w:ind w:firstLine="720"/>
      </w:pPr>
    </w:p>
    <w:p w14:paraId="03714E74" w14:textId="77777777" w:rsidR="00794E99" w:rsidRDefault="006A1E5A" w:rsidP="00027AA7">
      <w:pPr>
        <w:ind w:firstLine="720"/>
      </w:pPr>
      <w:r>
        <w:t>100.</w:t>
      </w:r>
      <w:r>
        <w:rPr>
          <w:rStyle w:val="FootnoteReference"/>
        </w:rPr>
        <w:footnoteReference w:id="25"/>
      </w:r>
    </w:p>
    <w:p w14:paraId="2CDB6F37" w14:textId="77777777" w:rsidR="006A1E5A" w:rsidRDefault="006A1E5A" w:rsidP="006A1E5A">
      <w:pPr>
        <w:ind w:left="720"/>
      </w:pPr>
      <w:r>
        <w:t>Alas for mortals!  How uneven are their fortunes!</w:t>
      </w:r>
    </w:p>
    <w:p w14:paraId="794657DC" w14:textId="77777777" w:rsidR="006A1E5A" w:rsidRDefault="006A1E5A" w:rsidP="006A1E5A">
      <w:pPr>
        <w:ind w:left="720"/>
      </w:pPr>
      <w:r>
        <w:t>For some do well, but for others harsh</w:t>
      </w:r>
    </w:p>
    <w:p w14:paraId="1AA58CAF" w14:textId="77777777" w:rsidR="006A1E5A" w:rsidRDefault="006A1E5A" w:rsidP="006A1E5A">
      <w:pPr>
        <w:ind w:firstLine="720"/>
      </w:pPr>
      <w:proofErr w:type="gramStart"/>
      <w:r>
        <w:t>disasters</w:t>
      </w:r>
      <w:proofErr w:type="gramEnd"/>
      <w:r>
        <w:t xml:space="preserve"> come along from god for the pious.</w:t>
      </w:r>
    </w:p>
    <w:p w14:paraId="5C12CF7E" w14:textId="77777777" w:rsidR="006A1E5A" w:rsidRDefault="006A1E5A" w:rsidP="006A1E5A">
      <w:pPr>
        <w:ind w:firstLine="720"/>
      </w:pPr>
    </w:p>
    <w:p w14:paraId="58AEFE45" w14:textId="77777777" w:rsidR="006A1E5A" w:rsidRDefault="006A1E5A" w:rsidP="006A1E5A">
      <w:r>
        <w:t>The Romans call fortune [</w:t>
      </w:r>
      <w:proofErr w:type="spellStart"/>
      <w:r>
        <w:rPr>
          <w:i/>
        </w:rPr>
        <w:t>tychê</w:t>
      </w:r>
      <w:proofErr w:type="spellEnd"/>
      <w:r>
        <w:t xml:space="preserve">] </w:t>
      </w:r>
      <w:r>
        <w:rPr>
          <w:i/>
        </w:rPr>
        <w:t>Fortuna</w:t>
      </w:r>
      <w:r>
        <w:t xml:space="preserve"> on the basis of its </w:t>
      </w:r>
      <w:r>
        <w:rPr>
          <w:i/>
        </w:rPr>
        <w:t xml:space="preserve">moving </w:t>
      </w:r>
      <w:r>
        <w:t>[</w:t>
      </w:r>
      <w:proofErr w:type="spellStart"/>
      <w:r w:rsidRPr="004C0135">
        <w:rPr>
          <w:i/>
          <w:u w:val="single"/>
        </w:rPr>
        <w:t>phor</w:t>
      </w:r>
      <w:r>
        <w:rPr>
          <w:i/>
        </w:rPr>
        <w:t>a</w:t>
      </w:r>
      <w:proofErr w:type="spellEnd"/>
      <w:r>
        <w:t>]…</w:t>
      </w:r>
      <w:r w:rsidR="005B4188">
        <w:t>inspired assistance.</w:t>
      </w:r>
      <w:r w:rsidR="005B4188">
        <w:rPr>
          <w:rStyle w:val="FootnoteReference"/>
        </w:rPr>
        <w:footnoteReference w:id="26"/>
      </w:r>
      <w:r w:rsidR="005B4188">
        <w:t xml:space="preserve">  Aristotle</w:t>
      </w:r>
      <w:proofErr w:type="gramStart"/>
      <w:r w:rsidR="005B4188">
        <w:t>:  …</w:t>
      </w:r>
      <w:proofErr w:type="gramEnd"/>
      <w:r w:rsidR="005B4188">
        <w:t xml:space="preserve"> For nothing in fortune's power is safe or decided, as Euripides says.  Inferior are those who strive for wealth beyond moderation, says the orator.  Plato </w:t>
      </w:r>
      <w:r w:rsidR="00B74BF5">
        <w:t>says</w:t>
      </w:r>
      <w:r w:rsidR="005B4188">
        <w:t xml:space="preserve"> that no </w:t>
      </w:r>
      <w:r w:rsidR="005B4188">
        <w:lastRenderedPageBreak/>
        <w:t>one comes to possess the greatest wealth without having previously suffered damage to his soul</w:t>
      </w:r>
      <w:r w:rsidR="00B74BF5">
        <w:t>.</w:t>
      </w:r>
      <w:r w:rsidR="002E087E">
        <w:t xml:space="preserve"> [141]</w:t>
      </w:r>
    </w:p>
    <w:p w14:paraId="4C5D93AD" w14:textId="77777777" w:rsidR="00794E99" w:rsidRDefault="00794E99" w:rsidP="00027AA7">
      <w:pPr>
        <w:ind w:firstLine="720"/>
      </w:pPr>
    </w:p>
    <w:p w14:paraId="3CF7424B" w14:textId="77777777" w:rsidR="00794E99" w:rsidRDefault="00794E99" w:rsidP="00027AA7">
      <w:pPr>
        <w:ind w:firstLine="720"/>
      </w:pPr>
      <w:r>
        <w:t xml:space="preserve">101.  The </w:t>
      </w:r>
      <w:r w:rsidR="002E087E">
        <w:t>o</w:t>
      </w:r>
      <w:r>
        <w:t>racle says:</w:t>
      </w:r>
      <w:r w:rsidR="00E87202">
        <w:rPr>
          <w:rStyle w:val="FootnoteReference"/>
        </w:rPr>
        <w:footnoteReference w:id="27"/>
      </w:r>
    </w:p>
    <w:p w14:paraId="74B7070B" w14:textId="77777777" w:rsidR="00794E99" w:rsidRDefault="00794E99" w:rsidP="00027AA7">
      <w:pPr>
        <w:ind w:firstLine="720"/>
      </w:pPr>
    </w:p>
    <w:p w14:paraId="2C961BFF" w14:textId="77777777" w:rsidR="00794E99" w:rsidRDefault="00794E99" w:rsidP="00027AA7">
      <w:pPr>
        <w:ind w:firstLine="720"/>
      </w:pPr>
      <w:r>
        <w:t xml:space="preserve">Double are the </w:t>
      </w:r>
      <w:r>
        <w:rPr>
          <w:i/>
        </w:rPr>
        <w:t>daemons</w:t>
      </w:r>
      <w:r>
        <w:t xml:space="preserve"> in man—and double are their</w:t>
      </w:r>
    </w:p>
    <w:p w14:paraId="15BCC7CD" w14:textId="77777777" w:rsidR="00794E99" w:rsidRDefault="00794E99" w:rsidP="00027AA7">
      <w:pPr>
        <w:ind w:firstLine="720"/>
      </w:pPr>
      <w:proofErr w:type="gramStart"/>
      <w:r>
        <w:t>tribes</w:t>
      </w:r>
      <w:proofErr w:type="gramEnd"/>
      <w:r>
        <w:t>:  they wander over the ever-flourishing earth</w:t>
      </w:r>
    </w:p>
    <w:p w14:paraId="0649C5DD" w14:textId="77777777" w:rsidR="00794E99" w:rsidRDefault="00794E99" w:rsidP="00027AA7">
      <w:pPr>
        <w:ind w:firstLine="720"/>
      </w:pPr>
      <w:proofErr w:type="gramStart"/>
      <w:r>
        <w:t xml:space="preserve">†to </w:t>
      </w:r>
      <w:r w:rsidR="00CA016D">
        <w:t>stand with</w:t>
      </w:r>
      <w:r>
        <w:t xml:space="preserve">† human beings, </w:t>
      </w:r>
      <w:r w:rsidR="00CA016D">
        <w:t>by</w:t>
      </w:r>
      <w:r>
        <w:t xml:space="preserve"> Zeus' ru</w:t>
      </w:r>
      <w:r w:rsidR="00CA016D">
        <w:t>le</w:t>
      </w:r>
      <w:r>
        <w:t>.</w:t>
      </w:r>
      <w:proofErr w:type="gramEnd"/>
      <w:r w:rsidR="00CA016D">
        <w:rPr>
          <w:rStyle w:val="FootnoteReference"/>
        </w:rPr>
        <w:footnoteReference w:id="28"/>
      </w:r>
    </w:p>
    <w:p w14:paraId="57386036" w14:textId="77777777" w:rsidR="00794E99" w:rsidRDefault="00794E99" w:rsidP="00027AA7">
      <w:pPr>
        <w:ind w:firstLine="720"/>
      </w:pPr>
      <w:r>
        <w:t>Zeus indeed is the giver of all things, both good and bad—</w:t>
      </w:r>
    </w:p>
    <w:p w14:paraId="28CFE8E9" w14:textId="77777777" w:rsidR="00794E99" w:rsidRDefault="00794E99" w:rsidP="00027AA7">
      <w:pPr>
        <w:ind w:firstLine="720"/>
      </w:pPr>
      <w:proofErr w:type="gramStart"/>
      <w:r>
        <w:t>he</w:t>
      </w:r>
      <w:proofErr w:type="gramEnd"/>
      <w:r>
        <w:t xml:space="preserve"> defines too the time of life for those being born,</w:t>
      </w:r>
    </w:p>
    <w:p w14:paraId="4B26FEB2" w14:textId="77777777" w:rsidR="00794E99" w:rsidRDefault="006A1E5A" w:rsidP="00027AA7">
      <w:pPr>
        <w:ind w:firstLine="720"/>
      </w:pPr>
      <w:proofErr w:type="gramStart"/>
      <w:r>
        <w:t>mingling</w:t>
      </w:r>
      <w:proofErr w:type="gramEnd"/>
      <w:r>
        <w:t xml:space="preserve"> mortal bodies with </w:t>
      </w:r>
      <w:r w:rsidR="00CA016D">
        <w:t>[</w:t>
      </w:r>
      <w:r>
        <w:t>things</w:t>
      </w:r>
      <w:r w:rsidR="00CA016D">
        <w:t>]</w:t>
      </w:r>
      <w:r>
        <w:t xml:space="preserve"> both foul and fair.</w:t>
      </w:r>
      <w:r w:rsidR="00CA016D">
        <w:rPr>
          <w:rStyle w:val="FootnoteReference"/>
        </w:rPr>
        <w:footnoteReference w:id="29"/>
      </w:r>
    </w:p>
    <w:p w14:paraId="3205DA84" w14:textId="77777777" w:rsidR="006A1E5A" w:rsidRDefault="006A1E5A" w:rsidP="00027AA7">
      <w:pPr>
        <w:ind w:firstLine="720"/>
      </w:pPr>
      <w:r>
        <w:t xml:space="preserve">Those </w:t>
      </w:r>
      <w:r>
        <w:rPr>
          <w:i/>
        </w:rPr>
        <w:t>daemons</w:t>
      </w:r>
      <w:r>
        <w:t>—whoever should associate with</w:t>
      </w:r>
      <w:r w:rsidR="001B48F4">
        <w:t xml:space="preserve"> [them] by</w:t>
      </w:r>
      <w:r>
        <w:t xml:space="preserve"> his wisdom,</w:t>
      </w:r>
    </w:p>
    <w:p w14:paraId="259CCA5A" w14:textId="77777777" w:rsidR="006A1E5A" w:rsidRDefault="00F37433" w:rsidP="00027AA7">
      <w:pPr>
        <w:ind w:firstLine="720"/>
      </w:pPr>
      <w:proofErr w:type="gramStart"/>
      <w:r>
        <w:t>and</w:t>
      </w:r>
      <w:proofErr w:type="gramEnd"/>
      <w:r>
        <w:t xml:space="preserve"> achieve an</w:t>
      </w:r>
      <w:r w:rsidR="001B48F4">
        <w:t xml:space="preserve"> understanding of </w:t>
      </w:r>
      <w:r w:rsidR="006A1E5A">
        <w:t xml:space="preserve">what deeds they </w:t>
      </w:r>
      <w:r w:rsidR="001B48F4">
        <w:t xml:space="preserve">take </w:t>
      </w:r>
      <w:r w:rsidR="006A1E5A">
        <w:t>delight</w:t>
      </w:r>
      <w:r w:rsidR="001B48F4">
        <w:t xml:space="preserve"> in</w:t>
      </w:r>
      <w:r w:rsidR="006A1E5A">
        <w:t>—</w:t>
      </w:r>
    </w:p>
    <w:p w14:paraId="0B0BB4B7" w14:textId="77777777" w:rsidR="006A1E5A" w:rsidRDefault="001B48F4" w:rsidP="00027AA7">
      <w:pPr>
        <w:ind w:firstLine="720"/>
      </w:pPr>
      <w:proofErr w:type="gramStart"/>
      <w:r>
        <w:t>he</w:t>
      </w:r>
      <w:proofErr w:type="gramEnd"/>
      <w:r>
        <w:t xml:space="preserve"> would</w:t>
      </w:r>
      <w:r w:rsidR="006A1E5A">
        <w:t xml:space="preserve"> surpass </w:t>
      </w:r>
      <w:r>
        <w:t>everyone</w:t>
      </w:r>
      <w:r w:rsidR="006A1E5A">
        <w:t xml:space="preserve"> in </w:t>
      </w:r>
      <w:r>
        <w:t>intelligence</w:t>
      </w:r>
      <w:r w:rsidR="006A1E5A">
        <w:t xml:space="preserve"> and noble deeds,</w:t>
      </w:r>
    </w:p>
    <w:p w14:paraId="5B209809" w14:textId="77777777" w:rsidR="006A1E5A" w:rsidRPr="006A1E5A" w:rsidRDefault="006A1E5A" w:rsidP="00027AA7">
      <w:pPr>
        <w:ind w:firstLine="720"/>
      </w:pPr>
      <w:proofErr w:type="gramStart"/>
      <w:r>
        <w:t>winning</w:t>
      </w:r>
      <w:proofErr w:type="gramEnd"/>
      <w:r>
        <w:t xml:space="preserve"> noble gifts from a noble [giver] and fleeing from the foul.</w:t>
      </w:r>
    </w:p>
    <w:p w14:paraId="0C757D05" w14:textId="77777777" w:rsidR="003851B5" w:rsidRPr="003851B5" w:rsidRDefault="003851B5" w:rsidP="00027AA7">
      <w:pPr>
        <w:ind w:firstLine="720"/>
      </w:pPr>
    </w:p>
    <w:sectPr w:rsidR="003851B5" w:rsidRPr="00385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E53B" w14:textId="77777777" w:rsidR="002A26A9" w:rsidRDefault="002A26A9" w:rsidP="00027AA7">
      <w:r>
        <w:separator/>
      </w:r>
    </w:p>
  </w:endnote>
  <w:endnote w:type="continuationSeparator" w:id="0">
    <w:p w14:paraId="073A6A54" w14:textId="77777777" w:rsidR="002A26A9" w:rsidRDefault="002A26A9" w:rsidP="0002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D2F6" w14:textId="77777777" w:rsidR="00D90C38" w:rsidRDefault="00D9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4453" w14:textId="77777777" w:rsidR="00D90C38" w:rsidRDefault="00D90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C46B" w14:textId="77777777" w:rsidR="00D90C38" w:rsidRDefault="00D9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42379" w14:textId="77777777" w:rsidR="002A26A9" w:rsidRDefault="002A26A9" w:rsidP="00027AA7">
      <w:r>
        <w:separator/>
      </w:r>
    </w:p>
  </w:footnote>
  <w:footnote w:type="continuationSeparator" w:id="0">
    <w:p w14:paraId="510EDC10" w14:textId="77777777" w:rsidR="002A26A9" w:rsidRDefault="002A26A9" w:rsidP="00027AA7">
      <w:r>
        <w:continuationSeparator/>
      </w:r>
    </w:p>
  </w:footnote>
  <w:footnote w:id="1">
    <w:p w14:paraId="33D46B9A" w14:textId="77777777" w:rsidR="0028524B" w:rsidRPr="00632E8C" w:rsidRDefault="0028524B">
      <w:pPr>
        <w:pStyle w:val="FootnoteText"/>
      </w:pPr>
      <w:r>
        <w:rPr>
          <w:rStyle w:val="FootnoteReference"/>
        </w:rPr>
        <w:footnoteRef/>
      </w:r>
      <w:r>
        <w:t xml:space="preserve"> </w:t>
      </w:r>
      <w:proofErr w:type="spellStart"/>
      <w:r>
        <w:t>Wuensch</w:t>
      </w:r>
      <w:proofErr w:type="spellEnd"/>
      <w:r>
        <w:t xml:space="preserve"> cites ("cf.") </w:t>
      </w:r>
      <w:r>
        <w:rPr>
          <w:i/>
        </w:rPr>
        <w:t>Republic</w:t>
      </w:r>
      <w:r>
        <w:t xml:space="preserve"> 412c—but this passage simply indicates that the old should rule over the young.  The thought regarding the characters of old and young is proverbial; note, e.g., Pindar </w:t>
      </w:r>
      <w:proofErr w:type="spellStart"/>
      <w:r>
        <w:t>fr.</w:t>
      </w:r>
      <w:proofErr w:type="spellEnd"/>
      <w:r>
        <w:t xml:space="preserve"> 199 (tr. W. H. Race, LCL) on Sparta:  "…there the counsels of elders and the young men's spears prevail…</w:t>
      </w:r>
      <w:proofErr w:type="gramStart"/>
      <w:r>
        <w:t>";</w:t>
      </w:r>
      <w:proofErr w:type="gramEnd"/>
      <w:r>
        <w:t xml:space="preserve"> cf. Hesiod, </w:t>
      </w:r>
      <w:proofErr w:type="spellStart"/>
      <w:r>
        <w:t>fr.</w:t>
      </w:r>
      <w:proofErr w:type="spellEnd"/>
      <w:r>
        <w:t xml:space="preserve"> 321:  "Deeds belong to the young, counsels to the middle-aged, and prayers to the old."  </w:t>
      </w:r>
      <w:proofErr w:type="gramStart"/>
      <w:r>
        <w:t xml:space="preserve">Aristotle, </w:t>
      </w:r>
      <w:r>
        <w:rPr>
          <w:i/>
        </w:rPr>
        <w:t>Rhetoric</w:t>
      </w:r>
      <w:r>
        <w:t xml:space="preserve"> 1390b; </w:t>
      </w:r>
      <w:proofErr w:type="spellStart"/>
      <w:r>
        <w:t>Bion</w:t>
      </w:r>
      <w:proofErr w:type="spellEnd"/>
      <w:r>
        <w:t xml:space="preserve"> </w:t>
      </w:r>
      <w:proofErr w:type="spellStart"/>
      <w:r>
        <w:t>fr.</w:t>
      </w:r>
      <w:proofErr w:type="spellEnd"/>
      <w:r>
        <w:t xml:space="preserve"> 64 (Diogenes </w:t>
      </w:r>
      <w:proofErr w:type="spellStart"/>
      <w:r>
        <w:t>Laertius</w:t>
      </w:r>
      <w:proofErr w:type="spellEnd"/>
      <w:r>
        <w:t xml:space="preserve"> 4.50).</w:t>
      </w:r>
      <w:proofErr w:type="gramEnd"/>
    </w:p>
  </w:footnote>
  <w:footnote w:id="2">
    <w:p w14:paraId="7730CD88" w14:textId="34FDA927" w:rsidR="0028524B" w:rsidRPr="00131F2E" w:rsidRDefault="0028524B">
      <w:pPr>
        <w:pStyle w:val="FootnoteText"/>
      </w:pPr>
      <w:r>
        <w:rPr>
          <w:rStyle w:val="FootnoteReference"/>
        </w:rPr>
        <w:footnoteRef/>
      </w:r>
      <w:r>
        <w:t xml:space="preserve"> It is not clear what the reference of "this" (fem. </w:t>
      </w:r>
      <w:proofErr w:type="spellStart"/>
      <w:r>
        <w:t>sg</w:t>
      </w:r>
      <w:proofErr w:type="spellEnd"/>
      <w:r>
        <w:t>.) is.</w:t>
      </w:r>
      <w:r w:rsidR="00131F2E">
        <w:t xml:space="preserve">  Simply s</w:t>
      </w:r>
      <w:r w:rsidR="00A05AFB">
        <w:t xml:space="preserve">upplying "month" is impossible because it would be masculine.  </w:t>
      </w:r>
      <w:proofErr w:type="gramStart"/>
      <w:r w:rsidR="00A05AFB">
        <w:t>T</w:t>
      </w:r>
      <w:r>
        <w:t>he most re</w:t>
      </w:r>
      <w:r w:rsidR="00A05AFB">
        <w:t xml:space="preserve">cent fem. </w:t>
      </w:r>
      <w:proofErr w:type="spellStart"/>
      <w:r w:rsidR="00A05AFB">
        <w:t>sg</w:t>
      </w:r>
      <w:proofErr w:type="spellEnd"/>
      <w:r w:rsidR="00A05AFB">
        <w:t>.</w:t>
      </w:r>
      <w:proofErr w:type="gramEnd"/>
      <w:r w:rsidR="00A05AFB">
        <w:t xml:space="preserve"> </w:t>
      </w:r>
      <w:proofErr w:type="gramStart"/>
      <w:r w:rsidR="00A05AFB">
        <w:t>noun</w:t>
      </w:r>
      <w:proofErr w:type="gramEnd"/>
      <w:r w:rsidR="00A05AFB">
        <w:t xml:space="preserve"> is "courage"; presumably, then, the idea is that the number six symbolizes the courage of </w:t>
      </w:r>
      <w:r w:rsidR="00131F2E">
        <w:t>the youth (or simply the youth itself,</w:t>
      </w:r>
      <w:r w:rsidR="00A05AFB">
        <w:t xml:space="preserve"> also a fe</w:t>
      </w:r>
      <w:r w:rsidR="00131F2E">
        <w:t xml:space="preserve">m. abstract noun in Gk. here)—and the </w:t>
      </w:r>
      <w:r w:rsidR="00131F2E">
        <w:rPr>
          <w:i/>
        </w:rPr>
        <w:t>month</w:t>
      </w:r>
      <w:r w:rsidR="00131F2E">
        <w:t xml:space="preserve"> was dedicated to the youth.</w:t>
      </w:r>
    </w:p>
  </w:footnote>
  <w:footnote w:id="3">
    <w:p w14:paraId="2649CB66" w14:textId="77777777" w:rsidR="0028524B" w:rsidRDefault="0028524B">
      <w:pPr>
        <w:pStyle w:val="FootnoteText"/>
      </w:pPr>
      <w:r>
        <w:rPr>
          <w:rStyle w:val="FootnoteReference"/>
        </w:rPr>
        <w:footnoteRef/>
      </w:r>
      <w:r>
        <w:t xml:space="preserve"> </w:t>
      </w:r>
      <w:proofErr w:type="gramStart"/>
      <w:r>
        <w:t>I.e., 6 = 1 + 2 + 3.</w:t>
      </w:r>
      <w:proofErr w:type="gramEnd"/>
    </w:p>
  </w:footnote>
  <w:footnote w:id="4">
    <w:p w14:paraId="780CDE98" w14:textId="77777777" w:rsidR="0028524B" w:rsidRDefault="0028524B">
      <w:pPr>
        <w:pStyle w:val="FootnoteText"/>
      </w:pPr>
      <w:r>
        <w:rPr>
          <w:rStyle w:val="FootnoteReference"/>
        </w:rPr>
        <w:footnoteRef/>
      </w:r>
      <w:r>
        <w:t xml:space="preserve"> 1 June.</w:t>
      </w:r>
    </w:p>
  </w:footnote>
  <w:footnote w:id="5">
    <w:p w14:paraId="20C4658E" w14:textId="77777777" w:rsidR="0028524B" w:rsidRDefault="0028524B">
      <w:pPr>
        <w:pStyle w:val="FootnoteText"/>
      </w:pPr>
      <w:r>
        <w:rPr>
          <w:rStyle w:val="FootnoteReference"/>
        </w:rPr>
        <w:footnoteRef/>
      </w:r>
      <w:r>
        <w:t xml:space="preserve"> This would be the celebration of Juno Moneta.</w:t>
      </w:r>
    </w:p>
  </w:footnote>
  <w:footnote w:id="6">
    <w:p w14:paraId="2978C7A3" w14:textId="77777777" w:rsidR="0028524B" w:rsidRPr="00E02F80" w:rsidRDefault="0028524B">
      <w:pPr>
        <w:pStyle w:val="FootnoteText"/>
      </w:pPr>
      <w:r>
        <w:rPr>
          <w:rStyle w:val="FootnoteReference"/>
        </w:rPr>
        <w:footnoteRef/>
      </w:r>
      <w:r>
        <w:t xml:space="preserve"> The story is also found in some legal texts (</w:t>
      </w:r>
      <w:r>
        <w:rPr>
          <w:i/>
        </w:rPr>
        <w:t>Digest</w:t>
      </w:r>
      <w:r>
        <w:t xml:space="preserve"> 5.4.3 and 34.5.7).</w:t>
      </w:r>
    </w:p>
  </w:footnote>
  <w:footnote w:id="7">
    <w:p w14:paraId="198F83E5" w14:textId="77777777" w:rsidR="0028524B" w:rsidRPr="00027AA7" w:rsidRDefault="0028524B">
      <w:pPr>
        <w:pStyle w:val="FootnoteText"/>
      </w:pPr>
      <w:r>
        <w:rPr>
          <w:rStyle w:val="FootnoteReference"/>
        </w:rPr>
        <w:footnoteRef/>
      </w:r>
      <w:r>
        <w:t xml:space="preserve"> </w:t>
      </w:r>
      <w:proofErr w:type="gramStart"/>
      <w:r>
        <w:t xml:space="preserve">Aristotle, </w:t>
      </w:r>
      <w:proofErr w:type="spellStart"/>
      <w:r>
        <w:rPr>
          <w:i/>
        </w:rPr>
        <w:t>Historia</w:t>
      </w:r>
      <w:proofErr w:type="spellEnd"/>
      <w:r>
        <w:rPr>
          <w:i/>
        </w:rPr>
        <w:t xml:space="preserve"> </w:t>
      </w:r>
      <w:proofErr w:type="spellStart"/>
      <w:r>
        <w:rPr>
          <w:i/>
        </w:rPr>
        <w:t>Animalium</w:t>
      </w:r>
      <w:proofErr w:type="spellEnd"/>
      <w:r>
        <w:t xml:space="preserve"> 7.4 [584b31].</w:t>
      </w:r>
      <w:proofErr w:type="gramEnd"/>
    </w:p>
  </w:footnote>
  <w:footnote w:id="8">
    <w:p w14:paraId="31C3AD34" w14:textId="2E8ABF96" w:rsidR="0028524B" w:rsidRPr="0028524B" w:rsidRDefault="0028524B">
      <w:pPr>
        <w:pStyle w:val="FootnoteText"/>
      </w:pPr>
      <w:r>
        <w:rPr>
          <w:rStyle w:val="FootnoteReference"/>
        </w:rPr>
        <w:footnoteRef/>
      </w:r>
      <w:r>
        <w:t xml:space="preserve"> Maas, </w:t>
      </w:r>
      <w:r>
        <w:rPr>
          <w:i/>
        </w:rPr>
        <w:t xml:space="preserve">John </w:t>
      </w:r>
      <w:proofErr w:type="spellStart"/>
      <w:r>
        <w:rPr>
          <w:i/>
        </w:rPr>
        <w:t>Lydus</w:t>
      </w:r>
      <w:proofErr w:type="spellEnd"/>
      <w:r>
        <w:rPr>
          <w:i/>
        </w:rPr>
        <w:t xml:space="preserve"> and the Roman Past</w:t>
      </w:r>
      <w:r>
        <w:t xml:space="preserve">, p. 128, understands this as a reference to </w:t>
      </w:r>
      <w:proofErr w:type="spellStart"/>
      <w:r>
        <w:t>Heraclides</w:t>
      </w:r>
      <w:proofErr w:type="spellEnd"/>
      <w:r>
        <w:t xml:space="preserve"> </w:t>
      </w:r>
      <w:proofErr w:type="spellStart"/>
      <w:r>
        <w:t>Ponticus</w:t>
      </w:r>
      <w:proofErr w:type="spellEnd"/>
      <w:r>
        <w:t xml:space="preserve">, but </w:t>
      </w:r>
      <w:proofErr w:type="spellStart"/>
      <w:r>
        <w:t>Wehrli's</w:t>
      </w:r>
      <w:proofErr w:type="spellEnd"/>
      <w:r>
        <w:t xml:space="preserve"> edition (</w:t>
      </w:r>
      <w:r>
        <w:rPr>
          <w:i/>
        </w:rPr>
        <w:t xml:space="preserve">Die </w:t>
      </w:r>
      <w:proofErr w:type="spellStart"/>
      <w:r>
        <w:rPr>
          <w:i/>
        </w:rPr>
        <w:t>Schule</w:t>
      </w:r>
      <w:proofErr w:type="spellEnd"/>
      <w:r>
        <w:rPr>
          <w:i/>
        </w:rPr>
        <w:t xml:space="preserve"> des </w:t>
      </w:r>
      <w:proofErr w:type="spellStart"/>
      <w:r>
        <w:rPr>
          <w:i/>
        </w:rPr>
        <w:t>Aristoteles</w:t>
      </w:r>
      <w:proofErr w:type="spellEnd"/>
      <w:r>
        <w:t xml:space="preserve">, vol. 7:  </w:t>
      </w:r>
      <w:proofErr w:type="spellStart"/>
      <w:r>
        <w:rPr>
          <w:i/>
        </w:rPr>
        <w:t>Herakleides</w:t>
      </w:r>
      <w:proofErr w:type="spellEnd"/>
      <w:r>
        <w:rPr>
          <w:i/>
        </w:rPr>
        <w:t xml:space="preserve"> </w:t>
      </w:r>
      <w:proofErr w:type="spellStart"/>
      <w:r>
        <w:rPr>
          <w:i/>
        </w:rPr>
        <w:t>Pontikos</w:t>
      </w:r>
      <w:proofErr w:type="spellEnd"/>
      <w:r w:rsidR="005C69E1">
        <w:t xml:space="preserve">) does not include it.  </w:t>
      </w:r>
      <w:r>
        <w:t>The expla</w:t>
      </w:r>
      <w:r w:rsidR="00E614A8">
        <w:t>nation cited shares some common features</w:t>
      </w:r>
      <w:r w:rsidR="005C69E1">
        <w:t>, however,</w:t>
      </w:r>
      <w:r>
        <w:t xml:space="preserve"> with Democritus' views; cf. [Hippocrates],</w:t>
      </w:r>
      <w:r>
        <w:rPr>
          <w:i/>
        </w:rPr>
        <w:t xml:space="preserve"> On the Nature of the Child</w:t>
      </w:r>
      <w:r>
        <w:t xml:space="preserve"> 31 and the commentary in I. M. </w:t>
      </w:r>
      <w:proofErr w:type="spellStart"/>
      <w:r>
        <w:t>Lonie</w:t>
      </w:r>
      <w:proofErr w:type="spellEnd"/>
      <w:r>
        <w:t xml:space="preserve">, </w:t>
      </w:r>
      <w:r>
        <w:rPr>
          <w:i/>
        </w:rPr>
        <w:t>The Hippocratic Treatises "On Generation" "On the Nature of the Child" "Diseases IV,"</w:t>
      </w:r>
      <w:r>
        <w:t xml:space="preserve"> (Berlin, 1981), pp. 252-4.</w:t>
      </w:r>
    </w:p>
  </w:footnote>
  <w:footnote w:id="9">
    <w:p w14:paraId="3AD86288" w14:textId="77777777" w:rsidR="0028524B" w:rsidRPr="0028524B" w:rsidRDefault="0028524B">
      <w:pPr>
        <w:pStyle w:val="FootnoteText"/>
      </w:pPr>
      <w:r>
        <w:rPr>
          <w:rStyle w:val="FootnoteReference"/>
        </w:rPr>
        <w:footnoteRef/>
      </w:r>
      <w:r>
        <w:t xml:space="preserve"> Or, "after a [period] of abstinence."  </w:t>
      </w:r>
      <w:proofErr w:type="gramStart"/>
      <w:r>
        <w:t xml:space="preserve">Gk. </w:t>
      </w:r>
      <w:proofErr w:type="spellStart"/>
      <w:r>
        <w:rPr>
          <w:i/>
        </w:rPr>
        <w:t>apo</w:t>
      </w:r>
      <w:proofErr w:type="spellEnd"/>
      <w:r>
        <w:rPr>
          <w:i/>
        </w:rPr>
        <w:t xml:space="preserve"> </w:t>
      </w:r>
      <w:proofErr w:type="spellStart"/>
      <w:r>
        <w:rPr>
          <w:i/>
        </w:rPr>
        <w:t>egkrateias</w:t>
      </w:r>
      <w:proofErr w:type="spellEnd"/>
      <w:r>
        <w:t>.</w:t>
      </w:r>
      <w:proofErr w:type="gramEnd"/>
      <w:r>
        <w:t xml:space="preserve">  It seems likely, however, that this is a corrupt reflection of the Greek term </w:t>
      </w:r>
      <w:proofErr w:type="spellStart"/>
      <w:r>
        <w:rPr>
          <w:i/>
        </w:rPr>
        <w:t>epikrateia</w:t>
      </w:r>
      <w:proofErr w:type="spellEnd"/>
      <w:r>
        <w:t xml:space="preserve"> ("predominance")</w:t>
      </w:r>
      <w:r w:rsidR="005C69E1">
        <w:t>,</w:t>
      </w:r>
      <w:r>
        <w:t xml:space="preserve"> which was important for Democritus' theory </w:t>
      </w:r>
      <w:r w:rsidR="005C69E1">
        <w:t xml:space="preserve">of how an </w:t>
      </w:r>
      <w:r>
        <w:t>embryo</w:t>
      </w:r>
      <w:r w:rsidR="005C69E1">
        <w:t>'s sex was determined</w:t>
      </w:r>
      <w:r>
        <w:t xml:space="preserve">; cf. Democritus </w:t>
      </w:r>
      <w:proofErr w:type="spellStart"/>
      <w:r>
        <w:t>fr.</w:t>
      </w:r>
      <w:proofErr w:type="spellEnd"/>
      <w:r>
        <w:t xml:space="preserve"> 138d in C. C. W. Taylor, </w:t>
      </w:r>
      <w:r>
        <w:rPr>
          <w:i/>
        </w:rPr>
        <w:t xml:space="preserve">The Atomists:  Leucippus and Democritus.  </w:t>
      </w:r>
      <w:proofErr w:type="gramStart"/>
      <w:r>
        <w:rPr>
          <w:i/>
        </w:rPr>
        <w:t>Fragments</w:t>
      </w:r>
      <w:r>
        <w:t xml:space="preserve"> (Toronto, 1999).</w:t>
      </w:r>
      <w:proofErr w:type="gramEnd"/>
    </w:p>
  </w:footnote>
  <w:footnote w:id="10">
    <w:p w14:paraId="1A48CF8E" w14:textId="77777777" w:rsidR="0028524B" w:rsidRPr="006C628F" w:rsidRDefault="0028524B">
      <w:pPr>
        <w:pStyle w:val="FootnoteText"/>
      </w:pPr>
      <w:r>
        <w:rPr>
          <w:rStyle w:val="FootnoteReference"/>
        </w:rPr>
        <w:footnoteRef/>
      </w:r>
      <w:r>
        <w:t xml:space="preserve"> The language here is not clear, but two scenarios are envisioned:  first, multiple conceptions in one act of intercourse; second, "superfetation"—fertilization after an embryo is already developing in the womb.  For discussion of ancient views of multiple births see V. </w:t>
      </w:r>
      <w:proofErr w:type="spellStart"/>
      <w:r>
        <w:t>Dasen</w:t>
      </w:r>
      <w:proofErr w:type="spellEnd"/>
      <w:r>
        <w:t xml:space="preserve">, "Becoming Human:  From the Embryo to the Newborn Child," in Evans Grubbs et al. (eds.), </w:t>
      </w:r>
      <w:r>
        <w:rPr>
          <w:i/>
        </w:rPr>
        <w:t xml:space="preserve">Oxford Handbook of Childhood and Education in the Classical World </w:t>
      </w:r>
      <w:r>
        <w:t>(2013), pp. 20-23.</w:t>
      </w:r>
    </w:p>
  </w:footnote>
  <w:footnote w:id="11">
    <w:p w14:paraId="764F2D62" w14:textId="77777777" w:rsidR="0028524B" w:rsidRDefault="0028524B">
      <w:pPr>
        <w:pStyle w:val="FootnoteText"/>
      </w:pPr>
      <w:r>
        <w:rPr>
          <w:rStyle w:val="FootnoteReference"/>
        </w:rPr>
        <w:footnoteRef/>
      </w:r>
      <w:r>
        <w:t xml:space="preserve"> Standard treatments of John's biography miss this statement—e.g., Maas, p. 31, says that apart from John's references to his wife in the context of their wedding, he "never mentioned her again."</w:t>
      </w:r>
    </w:p>
  </w:footnote>
  <w:footnote w:id="12">
    <w:p w14:paraId="568D0EA6" w14:textId="77777777" w:rsidR="0028524B" w:rsidRPr="00756716" w:rsidRDefault="0028524B">
      <w:pPr>
        <w:pStyle w:val="FootnoteText"/>
      </w:pPr>
      <w:r>
        <w:rPr>
          <w:rStyle w:val="FootnoteReference"/>
        </w:rPr>
        <w:footnoteRef/>
      </w:r>
      <w:r>
        <w:t xml:space="preserve"> This is a reference to the deity </w:t>
      </w:r>
      <w:proofErr w:type="spellStart"/>
      <w:r>
        <w:t>Semo</w:t>
      </w:r>
      <w:proofErr w:type="spellEnd"/>
      <w:r>
        <w:t xml:space="preserve"> </w:t>
      </w:r>
      <w:proofErr w:type="spellStart"/>
      <w:r>
        <w:t>Sancus</w:t>
      </w:r>
      <w:proofErr w:type="spellEnd"/>
      <w:r>
        <w:t xml:space="preserve"> (</w:t>
      </w:r>
      <w:proofErr w:type="spellStart"/>
      <w:r>
        <w:t>Dius</w:t>
      </w:r>
      <w:proofErr w:type="spellEnd"/>
      <w:r>
        <w:t xml:space="preserve"> </w:t>
      </w:r>
      <w:proofErr w:type="spellStart"/>
      <w:r>
        <w:t>Fidius</w:t>
      </w:r>
      <w:proofErr w:type="spellEnd"/>
      <w:r>
        <w:t xml:space="preserve">), celebrated on 5 June; for the Sabine connection see Varro, </w:t>
      </w:r>
      <w:r>
        <w:rPr>
          <w:i/>
        </w:rPr>
        <w:t>De Lingua Latina</w:t>
      </w:r>
      <w:r>
        <w:t xml:space="preserve"> 5.66; Ovid, </w:t>
      </w:r>
      <w:proofErr w:type="spellStart"/>
      <w:r>
        <w:rPr>
          <w:i/>
        </w:rPr>
        <w:t>Fasti</w:t>
      </w:r>
      <w:proofErr w:type="spellEnd"/>
      <w:r>
        <w:t xml:space="preserve"> 6.213-18.  R. D. Woodard, </w:t>
      </w:r>
      <w:r>
        <w:rPr>
          <w:i/>
        </w:rPr>
        <w:t>Indo-European Sacred Space:  Vedic and Roman Cult</w:t>
      </w:r>
      <w:r>
        <w:t xml:space="preserve"> (Urbana, 2006), pp. 184-5, assembles the evidence for the associations of this god with the open sky.</w:t>
      </w:r>
    </w:p>
  </w:footnote>
  <w:footnote w:id="13">
    <w:p w14:paraId="7C77CE7E" w14:textId="77777777" w:rsidR="0028524B" w:rsidRPr="00961ACC" w:rsidRDefault="0028524B">
      <w:pPr>
        <w:pStyle w:val="FootnoteText"/>
      </w:pPr>
      <w:r>
        <w:rPr>
          <w:rStyle w:val="FootnoteReference"/>
        </w:rPr>
        <w:footnoteRef/>
      </w:r>
      <w:r>
        <w:t xml:space="preserve"> Gk. </w:t>
      </w:r>
      <w:proofErr w:type="spellStart"/>
      <w:r>
        <w:rPr>
          <w:i/>
        </w:rPr>
        <w:t>charadrios</w:t>
      </w:r>
      <w:proofErr w:type="spellEnd"/>
      <w:r>
        <w:t>—a bird sometimes identified as a kind of plover; cf. Lev. 11.19 (LXX).</w:t>
      </w:r>
    </w:p>
  </w:footnote>
  <w:footnote w:id="14">
    <w:p w14:paraId="1B39AFF6" w14:textId="77777777" w:rsidR="0028524B" w:rsidRPr="00796BC5" w:rsidRDefault="0028524B">
      <w:pPr>
        <w:pStyle w:val="FootnoteText"/>
      </w:pPr>
      <w:r>
        <w:rPr>
          <w:rStyle w:val="FootnoteReference"/>
        </w:rPr>
        <w:footnoteRef/>
      </w:r>
      <w:r>
        <w:t xml:space="preserve"> This reference appears to have been part of an explanation that offerings of </w:t>
      </w:r>
      <w:r>
        <w:rPr>
          <w:i/>
        </w:rPr>
        <w:t xml:space="preserve">lard </w:t>
      </w:r>
      <w:r>
        <w:t xml:space="preserve">were made to Juno (Ovid, </w:t>
      </w:r>
      <w:proofErr w:type="spellStart"/>
      <w:r>
        <w:rPr>
          <w:i/>
        </w:rPr>
        <w:t>Fasti</w:t>
      </w:r>
      <w:proofErr w:type="spellEnd"/>
      <w:r>
        <w:rPr>
          <w:i/>
        </w:rPr>
        <w:t xml:space="preserve">, </w:t>
      </w:r>
      <w:r>
        <w:t xml:space="preserve">6.169; </w:t>
      </w:r>
      <w:proofErr w:type="spellStart"/>
      <w:r>
        <w:t>Macrobius</w:t>
      </w:r>
      <w:proofErr w:type="spellEnd"/>
      <w:r>
        <w:t xml:space="preserve">, </w:t>
      </w:r>
      <w:r>
        <w:rPr>
          <w:i/>
        </w:rPr>
        <w:t>Saturnalia</w:t>
      </w:r>
      <w:r>
        <w:t xml:space="preserve"> 1.12.33).</w:t>
      </w:r>
    </w:p>
  </w:footnote>
  <w:footnote w:id="15">
    <w:p w14:paraId="0F203155" w14:textId="77777777" w:rsidR="0028524B" w:rsidRPr="007540E7" w:rsidRDefault="0028524B">
      <w:pPr>
        <w:pStyle w:val="FootnoteText"/>
      </w:pPr>
      <w:r>
        <w:rPr>
          <w:rStyle w:val="FootnoteReference"/>
        </w:rPr>
        <w:footnoteRef/>
      </w:r>
      <w:r>
        <w:t xml:space="preserve"> </w:t>
      </w:r>
      <w:proofErr w:type="gramStart"/>
      <w:r>
        <w:t xml:space="preserve">9 June—the </w:t>
      </w:r>
      <w:proofErr w:type="spellStart"/>
      <w:r>
        <w:rPr>
          <w:i/>
        </w:rPr>
        <w:t>Vestalia</w:t>
      </w:r>
      <w:proofErr w:type="spellEnd"/>
      <w:r>
        <w:t>.</w:t>
      </w:r>
      <w:proofErr w:type="gramEnd"/>
    </w:p>
  </w:footnote>
  <w:footnote w:id="16">
    <w:p w14:paraId="61114FDC" w14:textId="77777777" w:rsidR="0028524B" w:rsidRPr="00816C45" w:rsidRDefault="0028524B">
      <w:pPr>
        <w:pStyle w:val="FootnoteText"/>
      </w:pPr>
      <w:r>
        <w:rPr>
          <w:rStyle w:val="FootnoteReference"/>
        </w:rPr>
        <w:footnoteRef/>
      </w:r>
      <w:r>
        <w:t xml:space="preserve"> </w:t>
      </w:r>
      <w:proofErr w:type="gramStart"/>
      <w:r>
        <w:t xml:space="preserve">Gk. </w:t>
      </w:r>
      <w:proofErr w:type="spellStart"/>
      <w:r>
        <w:rPr>
          <w:i/>
        </w:rPr>
        <w:t>ontotês</w:t>
      </w:r>
      <w:proofErr w:type="spellEnd"/>
      <w:r>
        <w:t>, the state of (truly) being / existing.</w:t>
      </w:r>
      <w:proofErr w:type="gramEnd"/>
    </w:p>
  </w:footnote>
  <w:footnote w:id="17">
    <w:p w14:paraId="70319DC9" w14:textId="77777777" w:rsidR="0028524B" w:rsidRPr="00816C45" w:rsidRDefault="0028524B">
      <w:pPr>
        <w:pStyle w:val="FootnoteText"/>
      </w:pPr>
      <w:r>
        <w:rPr>
          <w:rStyle w:val="FootnoteReference"/>
        </w:rPr>
        <w:footnoteRef/>
      </w:r>
      <w:r>
        <w:t xml:space="preserve"> Cf. Plato, </w:t>
      </w:r>
      <w:proofErr w:type="spellStart"/>
      <w:r>
        <w:rPr>
          <w:i/>
        </w:rPr>
        <w:t>Cratylus</w:t>
      </w:r>
      <w:proofErr w:type="spellEnd"/>
      <w:r>
        <w:t xml:space="preserve"> 401c (only giving the connection with </w:t>
      </w:r>
      <w:proofErr w:type="spellStart"/>
      <w:r>
        <w:rPr>
          <w:i/>
        </w:rPr>
        <w:t>ousia</w:t>
      </w:r>
      <w:proofErr w:type="spellEnd"/>
      <w:r>
        <w:t xml:space="preserve"> ["being"]).</w:t>
      </w:r>
    </w:p>
  </w:footnote>
  <w:footnote w:id="18">
    <w:p w14:paraId="3A7F1351" w14:textId="77777777" w:rsidR="0028524B" w:rsidRPr="000F28AE" w:rsidRDefault="0028524B">
      <w:pPr>
        <w:pStyle w:val="FootnoteText"/>
      </w:pPr>
      <w:r>
        <w:rPr>
          <w:rStyle w:val="FootnoteReference"/>
        </w:rPr>
        <w:footnoteRef/>
      </w:r>
      <w:r>
        <w:t xml:space="preserve"> Porphyry, </w:t>
      </w:r>
      <w:r>
        <w:rPr>
          <w:i/>
        </w:rPr>
        <w:t>On Images</w:t>
      </w:r>
      <w:r>
        <w:t xml:space="preserve"> </w:t>
      </w:r>
      <w:proofErr w:type="spellStart"/>
      <w:r>
        <w:t>fr.</w:t>
      </w:r>
      <w:proofErr w:type="spellEnd"/>
      <w:r>
        <w:t xml:space="preserve"> 6 [= </w:t>
      </w:r>
      <w:proofErr w:type="spellStart"/>
      <w:r>
        <w:t>fr.</w:t>
      </w:r>
      <w:proofErr w:type="spellEnd"/>
      <w:r>
        <w:t xml:space="preserve"> 357 Smith] (cited in Eusebius, </w:t>
      </w:r>
      <w:proofErr w:type="spellStart"/>
      <w:r>
        <w:rPr>
          <w:i/>
        </w:rPr>
        <w:t>Praep</w:t>
      </w:r>
      <w:proofErr w:type="spellEnd"/>
      <w:r>
        <w:rPr>
          <w:i/>
        </w:rPr>
        <w:t xml:space="preserve">. </w:t>
      </w:r>
      <w:proofErr w:type="spellStart"/>
      <w:proofErr w:type="gramStart"/>
      <w:r>
        <w:rPr>
          <w:i/>
        </w:rPr>
        <w:t>Ev</w:t>
      </w:r>
      <w:proofErr w:type="spellEnd"/>
      <w:r>
        <w:rPr>
          <w:i/>
        </w:rPr>
        <w:t>.</w:t>
      </w:r>
      <w:proofErr w:type="gramEnd"/>
      <w:r>
        <w:t xml:space="preserve"> </w:t>
      </w:r>
      <w:proofErr w:type="gramStart"/>
      <w:r>
        <w:t xml:space="preserve">3.11.7, which Smith numbers as </w:t>
      </w:r>
      <w:proofErr w:type="spellStart"/>
      <w:r>
        <w:t>fr.</w:t>
      </w:r>
      <w:proofErr w:type="spellEnd"/>
      <w:r>
        <w:t xml:space="preserve"> 357a).</w:t>
      </w:r>
      <w:proofErr w:type="gramEnd"/>
    </w:p>
  </w:footnote>
  <w:footnote w:id="19">
    <w:p w14:paraId="3814E876" w14:textId="77777777" w:rsidR="0028524B" w:rsidRPr="007540E7" w:rsidRDefault="0028524B">
      <w:pPr>
        <w:pStyle w:val="FootnoteText"/>
      </w:pPr>
      <w:r>
        <w:rPr>
          <w:rStyle w:val="FootnoteReference"/>
        </w:rPr>
        <w:footnoteRef/>
      </w:r>
      <w:r>
        <w:t xml:space="preserve"> Cf. Ovid, </w:t>
      </w:r>
      <w:proofErr w:type="spellStart"/>
      <w:r>
        <w:rPr>
          <w:i/>
        </w:rPr>
        <w:t>Fasti</w:t>
      </w:r>
      <w:proofErr w:type="spellEnd"/>
      <w:r>
        <w:t xml:space="preserve"> 6.267:  </w:t>
      </w:r>
      <w:proofErr w:type="spellStart"/>
      <w:r>
        <w:rPr>
          <w:i/>
        </w:rPr>
        <w:t>Vesta</w:t>
      </w:r>
      <w:proofErr w:type="spellEnd"/>
      <w:r>
        <w:rPr>
          <w:i/>
        </w:rPr>
        <w:t xml:space="preserve"> </w:t>
      </w:r>
      <w:proofErr w:type="spellStart"/>
      <w:r>
        <w:rPr>
          <w:i/>
        </w:rPr>
        <w:t>eadem</w:t>
      </w:r>
      <w:proofErr w:type="spellEnd"/>
      <w:r>
        <w:rPr>
          <w:i/>
        </w:rPr>
        <w:t xml:space="preserve"> </w:t>
      </w:r>
      <w:proofErr w:type="spellStart"/>
      <w:proofErr w:type="gramStart"/>
      <w:r>
        <w:rPr>
          <w:i/>
        </w:rPr>
        <w:t>est</w:t>
      </w:r>
      <w:proofErr w:type="spellEnd"/>
      <w:proofErr w:type="gramEnd"/>
      <w:r>
        <w:rPr>
          <w:i/>
        </w:rPr>
        <w:t xml:space="preserve"> et terra.</w:t>
      </w:r>
    </w:p>
  </w:footnote>
  <w:footnote w:id="20">
    <w:p w14:paraId="1526CF23" w14:textId="77777777" w:rsidR="0028524B" w:rsidRPr="00225D43" w:rsidRDefault="0028524B">
      <w:pPr>
        <w:pStyle w:val="FootnoteText"/>
      </w:pPr>
      <w:r>
        <w:rPr>
          <w:rStyle w:val="FootnoteReference"/>
        </w:rPr>
        <w:footnoteRef/>
      </w:r>
      <w:r>
        <w:t xml:space="preserve"> </w:t>
      </w:r>
      <w:proofErr w:type="gramStart"/>
      <w:r>
        <w:t xml:space="preserve">Gk. </w:t>
      </w:r>
      <w:proofErr w:type="spellStart"/>
      <w:r>
        <w:rPr>
          <w:i/>
        </w:rPr>
        <w:t>rhêxis</w:t>
      </w:r>
      <w:proofErr w:type="spellEnd"/>
      <w:r>
        <w:t xml:space="preserve"> [with verbal root </w:t>
      </w:r>
      <w:proofErr w:type="spellStart"/>
      <w:r>
        <w:rPr>
          <w:i/>
          <w:u w:val="single"/>
        </w:rPr>
        <w:t>rhêg</w:t>
      </w:r>
      <w:proofErr w:type="spellEnd"/>
      <w:r>
        <w:t>].</w:t>
      </w:r>
      <w:proofErr w:type="gramEnd"/>
    </w:p>
  </w:footnote>
  <w:footnote w:id="21">
    <w:p w14:paraId="0CE52425" w14:textId="77777777" w:rsidR="0028524B" w:rsidRDefault="0028524B">
      <w:pPr>
        <w:pStyle w:val="FootnoteText"/>
      </w:pPr>
      <w:r>
        <w:rPr>
          <w:rStyle w:val="FootnoteReference"/>
        </w:rPr>
        <w:footnoteRef/>
      </w:r>
      <w:r>
        <w:t xml:space="preserve"> Not attested elsewhere.</w:t>
      </w:r>
    </w:p>
  </w:footnote>
  <w:footnote w:id="22">
    <w:p w14:paraId="4DA85C48" w14:textId="77777777" w:rsidR="0028524B" w:rsidRPr="00B40C5B" w:rsidRDefault="0028524B">
      <w:pPr>
        <w:pStyle w:val="FootnoteText"/>
      </w:pPr>
      <w:r>
        <w:rPr>
          <w:rStyle w:val="FootnoteReference"/>
        </w:rPr>
        <w:footnoteRef/>
      </w:r>
      <w:r>
        <w:t xml:space="preserve"> </w:t>
      </w:r>
      <w:proofErr w:type="spellStart"/>
      <w:r>
        <w:t>Wuensch</w:t>
      </w:r>
      <w:proofErr w:type="spellEnd"/>
      <w:r>
        <w:t xml:space="preserve"> refers to the discussion in Müller, </w:t>
      </w:r>
      <w:r w:rsidRPr="00B40C5B">
        <w:rPr>
          <w:i/>
        </w:rPr>
        <w:t>FHG</w:t>
      </w:r>
      <w:r>
        <w:t xml:space="preserve"> 2: 20 (</w:t>
      </w:r>
      <w:proofErr w:type="spellStart"/>
      <w:r>
        <w:t>Eudemus</w:t>
      </w:r>
      <w:proofErr w:type="spellEnd"/>
      <w:r>
        <w:t xml:space="preserve"> of Paros, or Naxos—a historian of the Classical era); however, the identity of John's </w:t>
      </w:r>
      <w:proofErr w:type="spellStart"/>
      <w:r>
        <w:t>Eudemus</w:t>
      </w:r>
      <w:proofErr w:type="spellEnd"/>
      <w:r>
        <w:t xml:space="preserve"> is not certain.  </w:t>
      </w:r>
      <w:proofErr w:type="spellStart"/>
      <w:r>
        <w:t>Aelian</w:t>
      </w:r>
      <w:proofErr w:type="spellEnd"/>
      <w:r>
        <w:t xml:space="preserve"> cites a "</w:t>
      </w:r>
      <w:proofErr w:type="spellStart"/>
      <w:r>
        <w:t>Eudemus</w:t>
      </w:r>
      <w:proofErr w:type="spellEnd"/>
      <w:r>
        <w:t xml:space="preserve">" for a number of strange stories of animal lore, which are often attributed to the Peripatetic philosopher </w:t>
      </w:r>
      <w:proofErr w:type="spellStart"/>
      <w:r>
        <w:t>Eudemus</w:t>
      </w:r>
      <w:proofErr w:type="spellEnd"/>
      <w:r>
        <w:t xml:space="preserve"> of Rhodes; cf. S. A. White, "</w:t>
      </w:r>
      <w:proofErr w:type="spellStart"/>
      <w:r>
        <w:t>Eudemus</w:t>
      </w:r>
      <w:proofErr w:type="spellEnd"/>
      <w:r>
        <w:t xml:space="preserve"> the Naturalist," in </w:t>
      </w:r>
      <w:proofErr w:type="spellStart"/>
      <w:r>
        <w:t>Bodnár</w:t>
      </w:r>
      <w:proofErr w:type="spellEnd"/>
      <w:r>
        <w:t xml:space="preserve"> and </w:t>
      </w:r>
      <w:proofErr w:type="spellStart"/>
      <w:r>
        <w:t>Fortenbaugh</w:t>
      </w:r>
      <w:proofErr w:type="spellEnd"/>
      <w:r>
        <w:t xml:space="preserve">, </w:t>
      </w:r>
      <w:proofErr w:type="spellStart"/>
      <w:r>
        <w:rPr>
          <w:i/>
        </w:rPr>
        <w:t>Eudemus</w:t>
      </w:r>
      <w:proofErr w:type="spellEnd"/>
      <w:r>
        <w:rPr>
          <w:i/>
        </w:rPr>
        <w:t xml:space="preserve"> of Rhodes</w:t>
      </w:r>
      <w:r>
        <w:t xml:space="preserve"> (2002), pp. 207ff..</w:t>
      </w:r>
    </w:p>
  </w:footnote>
  <w:footnote w:id="23">
    <w:p w14:paraId="4EE922E0" w14:textId="77777777" w:rsidR="0028524B" w:rsidRPr="00794E99" w:rsidRDefault="0028524B">
      <w:pPr>
        <w:pStyle w:val="FootnoteText"/>
      </w:pPr>
      <w:r>
        <w:rPr>
          <w:rStyle w:val="FootnoteReference"/>
        </w:rPr>
        <w:footnoteRef/>
      </w:r>
      <w:r>
        <w:t xml:space="preserve"> It appears that the text needs to be emended </w:t>
      </w:r>
      <w:r w:rsidRPr="00794E99">
        <w:t>(</w:t>
      </w:r>
      <w:r>
        <w:rPr>
          <w:lang w:val="el-GR"/>
        </w:rPr>
        <w:t>ἐξήρθη</w:t>
      </w:r>
      <w:r>
        <w:t xml:space="preserve"> rather than </w:t>
      </w:r>
      <w:r>
        <w:rPr>
          <w:lang w:val="el-GR"/>
        </w:rPr>
        <w:t>ἐξῃρέθη</w:t>
      </w:r>
      <w:r w:rsidRPr="00794E99">
        <w:t xml:space="preserve">) </w:t>
      </w:r>
      <w:r>
        <w:t xml:space="preserve">to reflect the verb </w:t>
      </w:r>
      <w:r>
        <w:rPr>
          <w:lang w:val="el-GR"/>
        </w:rPr>
        <w:t>αἴρειν</w:t>
      </w:r>
      <w:r>
        <w:t xml:space="preserve"> rather than </w:t>
      </w:r>
      <w:r>
        <w:rPr>
          <w:lang w:val="el-GR"/>
        </w:rPr>
        <w:t>αἱρεῖν</w:t>
      </w:r>
      <w:r>
        <w:t xml:space="preserve"> [Bandy makes this emendation].</w:t>
      </w:r>
    </w:p>
  </w:footnote>
  <w:footnote w:id="24">
    <w:p w14:paraId="60EBDAB7" w14:textId="77777777" w:rsidR="0028524B" w:rsidRPr="00543588" w:rsidRDefault="0028524B">
      <w:pPr>
        <w:pStyle w:val="FootnoteText"/>
      </w:pPr>
      <w:r>
        <w:rPr>
          <w:rStyle w:val="FootnoteReference"/>
        </w:rPr>
        <w:footnoteRef/>
      </w:r>
      <w:r>
        <w:t xml:space="preserve"> </w:t>
      </w:r>
      <w:proofErr w:type="spellStart"/>
      <w:proofErr w:type="gramStart"/>
      <w:r>
        <w:rPr>
          <w:i/>
        </w:rPr>
        <w:t>Pyth</w:t>
      </w:r>
      <w:proofErr w:type="spellEnd"/>
      <w:r>
        <w:t>.</w:t>
      </w:r>
      <w:proofErr w:type="gramEnd"/>
      <w:r>
        <w:t xml:space="preserve"> 4.109.</w:t>
      </w:r>
    </w:p>
  </w:footnote>
  <w:footnote w:id="25">
    <w:p w14:paraId="53329B89" w14:textId="77777777" w:rsidR="0028524B" w:rsidRDefault="0028524B" w:rsidP="006A1E5A">
      <w:pPr>
        <w:pStyle w:val="FootnoteText"/>
      </w:pPr>
      <w:r>
        <w:rPr>
          <w:rStyle w:val="FootnoteReference"/>
        </w:rPr>
        <w:footnoteRef/>
      </w:r>
      <w:r>
        <w:t xml:space="preserve"> </w:t>
      </w:r>
      <w:r w:rsidRPr="006A1E5A">
        <w:t xml:space="preserve">This </w:t>
      </w:r>
      <w:r>
        <w:t>section is a re-worked / truncated version of 4.7.  See notes on that section for the quotations.</w:t>
      </w:r>
    </w:p>
  </w:footnote>
  <w:footnote w:id="26">
    <w:p w14:paraId="5785B6AD" w14:textId="77777777" w:rsidR="0028524B" w:rsidRPr="005B4188" w:rsidRDefault="0028524B">
      <w:pPr>
        <w:pStyle w:val="FootnoteText"/>
      </w:pPr>
      <w:r>
        <w:rPr>
          <w:rStyle w:val="FootnoteReference"/>
        </w:rPr>
        <w:footnoteRef/>
      </w:r>
      <w:r>
        <w:t xml:space="preserve"> "Assistance" (</w:t>
      </w:r>
      <w:r>
        <w:rPr>
          <w:lang w:val="el-GR"/>
        </w:rPr>
        <w:t>ὠφέλειαν</w:t>
      </w:r>
      <w:r>
        <w:t xml:space="preserve">) is simply a variant reading here (i.e., most likely a scribal error) for 4.7's "simplicity" </w:t>
      </w:r>
      <w:r>
        <w:rPr>
          <w:lang w:val="el-GR"/>
        </w:rPr>
        <w:t>ἀφέλειαν</w:t>
      </w:r>
      <w:r>
        <w:t xml:space="preserve"> (or vice versa).</w:t>
      </w:r>
    </w:p>
  </w:footnote>
  <w:footnote w:id="27">
    <w:p w14:paraId="3FBDF7DE" w14:textId="77777777" w:rsidR="0028524B" w:rsidRDefault="0028524B">
      <w:pPr>
        <w:pStyle w:val="FootnoteText"/>
      </w:pPr>
      <w:r>
        <w:rPr>
          <w:rStyle w:val="FootnoteReference"/>
        </w:rPr>
        <w:footnoteRef/>
      </w:r>
      <w:r>
        <w:t xml:space="preserve"> </w:t>
      </w:r>
      <w:proofErr w:type="spellStart"/>
      <w:r>
        <w:rPr>
          <w:i/>
        </w:rPr>
        <w:t>Chaldaean</w:t>
      </w:r>
      <w:proofErr w:type="spellEnd"/>
      <w:r>
        <w:rPr>
          <w:i/>
        </w:rPr>
        <w:t xml:space="preserve"> Oracles</w:t>
      </w:r>
      <w:r>
        <w:t>,</w:t>
      </w:r>
      <w:r>
        <w:rPr>
          <w:i/>
        </w:rPr>
        <w:t xml:space="preserve"> </w:t>
      </w:r>
      <w:proofErr w:type="spellStart"/>
      <w:r>
        <w:t>fr.</w:t>
      </w:r>
      <w:proofErr w:type="spellEnd"/>
      <w:r>
        <w:t xml:space="preserve"> 215 Des Places (categorized as "dubious").</w:t>
      </w:r>
    </w:p>
  </w:footnote>
  <w:footnote w:id="28">
    <w:p w14:paraId="75DAE480" w14:textId="77777777" w:rsidR="0028524B" w:rsidRDefault="0028524B">
      <w:pPr>
        <w:pStyle w:val="FootnoteText"/>
      </w:pPr>
      <w:r>
        <w:rPr>
          <w:rStyle w:val="FootnoteReference"/>
        </w:rPr>
        <w:footnoteRef/>
      </w:r>
      <w:r>
        <w:t xml:space="preserve"> Des Places accepts Kroll's emendations, such that the line reads:  "having been appointed by Zeus' rule to stand with human beings."</w:t>
      </w:r>
    </w:p>
  </w:footnote>
  <w:footnote w:id="29">
    <w:p w14:paraId="697CEF12" w14:textId="77777777" w:rsidR="0028524B" w:rsidRDefault="0028524B">
      <w:pPr>
        <w:pStyle w:val="FootnoteText"/>
      </w:pPr>
      <w:r>
        <w:rPr>
          <w:rStyle w:val="FootnoteReference"/>
        </w:rPr>
        <w:footnoteRef/>
      </w:r>
      <w:r>
        <w:t xml:space="preserve"> Or "for [people] both foul and fair."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9998" w14:textId="77777777" w:rsidR="00D90C38" w:rsidRDefault="00D9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4FD4" w14:textId="77777777" w:rsidR="00D90C38" w:rsidRDefault="00D9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1EEB" w14:textId="77777777" w:rsidR="00D90C38" w:rsidRDefault="00D90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27"/>
    <w:rsid w:val="00027AA7"/>
    <w:rsid w:val="00045132"/>
    <w:rsid w:val="00052E46"/>
    <w:rsid w:val="000B26F7"/>
    <w:rsid w:val="000B62F4"/>
    <w:rsid w:val="000F28AE"/>
    <w:rsid w:val="00131F2E"/>
    <w:rsid w:val="001B48F4"/>
    <w:rsid w:val="001F25A0"/>
    <w:rsid w:val="00206B2B"/>
    <w:rsid w:val="00225D43"/>
    <w:rsid w:val="00234D81"/>
    <w:rsid w:val="0028524B"/>
    <w:rsid w:val="002A26A9"/>
    <w:rsid w:val="002B76BC"/>
    <w:rsid w:val="002E087E"/>
    <w:rsid w:val="003851B5"/>
    <w:rsid w:val="003B5112"/>
    <w:rsid w:val="004C1232"/>
    <w:rsid w:val="00543588"/>
    <w:rsid w:val="005B4188"/>
    <w:rsid w:val="005C2BBB"/>
    <w:rsid w:val="005C69E1"/>
    <w:rsid w:val="00625DF4"/>
    <w:rsid w:val="00632E8C"/>
    <w:rsid w:val="006A1E5A"/>
    <w:rsid w:val="006C628F"/>
    <w:rsid w:val="00737A30"/>
    <w:rsid w:val="007540E7"/>
    <w:rsid w:val="00756716"/>
    <w:rsid w:val="00794E99"/>
    <w:rsid w:val="00796BC5"/>
    <w:rsid w:val="007F0815"/>
    <w:rsid w:val="00816C45"/>
    <w:rsid w:val="00887FE1"/>
    <w:rsid w:val="00897928"/>
    <w:rsid w:val="008C27CF"/>
    <w:rsid w:val="00961ACC"/>
    <w:rsid w:val="00A05AFB"/>
    <w:rsid w:val="00A870BA"/>
    <w:rsid w:val="00AA647C"/>
    <w:rsid w:val="00AD3944"/>
    <w:rsid w:val="00B40C5B"/>
    <w:rsid w:val="00B74BF5"/>
    <w:rsid w:val="00BB4905"/>
    <w:rsid w:val="00BD4A3E"/>
    <w:rsid w:val="00C64825"/>
    <w:rsid w:val="00C873C5"/>
    <w:rsid w:val="00CA016D"/>
    <w:rsid w:val="00D90C38"/>
    <w:rsid w:val="00E02F80"/>
    <w:rsid w:val="00E614A8"/>
    <w:rsid w:val="00E662F1"/>
    <w:rsid w:val="00E70381"/>
    <w:rsid w:val="00E87202"/>
    <w:rsid w:val="00EC6F00"/>
    <w:rsid w:val="00F37433"/>
    <w:rsid w:val="00F600DE"/>
    <w:rsid w:val="00FB629F"/>
    <w:rsid w:val="00FC6490"/>
    <w:rsid w:val="00FF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3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2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AA7"/>
    <w:rPr>
      <w:sz w:val="20"/>
      <w:szCs w:val="20"/>
    </w:rPr>
  </w:style>
  <w:style w:type="character" w:customStyle="1" w:styleId="FootnoteTextChar">
    <w:name w:val="Footnote Text Char"/>
    <w:basedOn w:val="DefaultParagraphFont"/>
    <w:link w:val="FootnoteText"/>
    <w:uiPriority w:val="99"/>
    <w:semiHidden/>
    <w:rsid w:val="00027AA7"/>
    <w:rPr>
      <w:rFonts w:eastAsia="Calibri"/>
      <w:sz w:val="20"/>
      <w:szCs w:val="20"/>
    </w:rPr>
  </w:style>
  <w:style w:type="character" w:styleId="FootnoteReference">
    <w:name w:val="footnote reference"/>
    <w:basedOn w:val="DefaultParagraphFont"/>
    <w:uiPriority w:val="99"/>
    <w:semiHidden/>
    <w:unhideWhenUsed/>
    <w:rsid w:val="00027AA7"/>
    <w:rPr>
      <w:vertAlign w:val="superscript"/>
    </w:rPr>
  </w:style>
  <w:style w:type="paragraph" w:styleId="Header">
    <w:name w:val="header"/>
    <w:basedOn w:val="Normal"/>
    <w:link w:val="HeaderChar"/>
    <w:uiPriority w:val="99"/>
    <w:unhideWhenUsed/>
    <w:rsid w:val="00CA016D"/>
    <w:pPr>
      <w:tabs>
        <w:tab w:val="center" w:pos="4680"/>
        <w:tab w:val="right" w:pos="9360"/>
      </w:tabs>
    </w:pPr>
  </w:style>
  <w:style w:type="character" w:customStyle="1" w:styleId="HeaderChar">
    <w:name w:val="Header Char"/>
    <w:basedOn w:val="DefaultParagraphFont"/>
    <w:link w:val="Header"/>
    <w:uiPriority w:val="99"/>
    <w:rsid w:val="00CA016D"/>
    <w:rPr>
      <w:rFonts w:eastAsia="Calibri"/>
    </w:rPr>
  </w:style>
  <w:style w:type="paragraph" w:styleId="Footer">
    <w:name w:val="footer"/>
    <w:basedOn w:val="Normal"/>
    <w:link w:val="FooterChar"/>
    <w:uiPriority w:val="99"/>
    <w:unhideWhenUsed/>
    <w:rsid w:val="00CA016D"/>
    <w:pPr>
      <w:tabs>
        <w:tab w:val="center" w:pos="4680"/>
        <w:tab w:val="right" w:pos="9360"/>
      </w:tabs>
    </w:pPr>
  </w:style>
  <w:style w:type="character" w:customStyle="1" w:styleId="FooterChar">
    <w:name w:val="Footer Char"/>
    <w:basedOn w:val="DefaultParagraphFont"/>
    <w:link w:val="Footer"/>
    <w:uiPriority w:val="99"/>
    <w:rsid w:val="00CA016D"/>
    <w:rPr>
      <w:rFonts w:eastAsia="Calibri"/>
    </w:rPr>
  </w:style>
  <w:style w:type="paragraph" w:styleId="BalloonText">
    <w:name w:val="Balloon Text"/>
    <w:basedOn w:val="Normal"/>
    <w:link w:val="BalloonTextChar"/>
    <w:uiPriority w:val="99"/>
    <w:semiHidden/>
    <w:unhideWhenUsed/>
    <w:rsid w:val="00F37433"/>
    <w:rPr>
      <w:rFonts w:ascii="Tahoma" w:hAnsi="Tahoma" w:cs="Tahoma"/>
      <w:sz w:val="16"/>
      <w:szCs w:val="16"/>
    </w:rPr>
  </w:style>
  <w:style w:type="character" w:customStyle="1" w:styleId="BalloonTextChar">
    <w:name w:val="Balloon Text Char"/>
    <w:basedOn w:val="DefaultParagraphFont"/>
    <w:link w:val="BalloonText"/>
    <w:uiPriority w:val="99"/>
    <w:semiHidden/>
    <w:rsid w:val="00F374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2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AA7"/>
    <w:rPr>
      <w:sz w:val="20"/>
      <w:szCs w:val="20"/>
    </w:rPr>
  </w:style>
  <w:style w:type="character" w:customStyle="1" w:styleId="FootnoteTextChar">
    <w:name w:val="Footnote Text Char"/>
    <w:basedOn w:val="DefaultParagraphFont"/>
    <w:link w:val="FootnoteText"/>
    <w:uiPriority w:val="99"/>
    <w:semiHidden/>
    <w:rsid w:val="00027AA7"/>
    <w:rPr>
      <w:rFonts w:eastAsia="Calibri"/>
      <w:sz w:val="20"/>
      <w:szCs w:val="20"/>
    </w:rPr>
  </w:style>
  <w:style w:type="character" w:styleId="FootnoteReference">
    <w:name w:val="footnote reference"/>
    <w:basedOn w:val="DefaultParagraphFont"/>
    <w:uiPriority w:val="99"/>
    <w:semiHidden/>
    <w:unhideWhenUsed/>
    <w:rsid w:val="00027AA7"/>
    <w:rPr>
      <w:vertAlign w:val="superscript"/>
    </w:rPr>
  </w:style>
  <w:style w:type="paragraph" w:styleId="Header">
    <w:name w:val="header"/>
    <w:basedOn w:val="Normal"/>
    <w:link w:val="HeaderChar"/>
    <w:uiPriority w:val="99"/>
    <w:unhideWhenUsed/>
    <w:rsid w:val="00CA016D"/>
    <w:pPr>
      <w:tabs>
        <w:tab w:val="center" w:pos="4680"/>
        <w:tab w:val="right" w:pos="9360"/>
      </w:tabs>
    </w:pPr>
  </w:style>
  <w:style w:type="character" w:customStyle="1" w:styleId="HeaderChar">
    <w:name w:val="Header Char"/>
    <w:basedOn w:val="DefaultParagraphFont"/>
    <w:link w:val="Header"/>
    <w:uiPriority w:val="99"/>
    <w:rsid w:val="00CA016D"/>
    <w:rPr>
      <w:rFonts w:eastAsia="Calibri"/>
    </w:rPr>
  </w:style>
  <w:style w:type="paragraph" w:styleId="Footer">
    <w:name w:val="footer"/>
    <w:basedOn w:val="Normal"/>
    <w:link w:val="FooterChar"/>
    <w:uiPriority w:val="99"/>
    <w:unhideWhenUsed/>
    <w:rsid w:val="00CA016D"/>
    <w:pPr>
      <w:tabs>
        <w:tab w:val="center" w:pos="4680"/>
        <w:tab w:val="right" w:pos="9360"/>
      </w:tabs>
    </w:pPr>
  </w:style>
  <w:style w:type="character" w:customStyle="1" w:styleId="FooterChar">
    <w:name w:val="Footer Char"/>
    <w:basedOn w:val="DefaultParagraphFont"/>
    <w:link w:val="Footer"/>
    <w:uiPriority w:val="99"/>
    <w:rsid w:val="00CA016D"/>
    <w:rPr>
      <w:rFonts w:eastAsia="Calibri"/>
    </w:rPr>
  </w:style>
  <w:style w:type="paragraph" w:styleId="BalloonText">
    <w:name w:val="Balloon Text"/>
    <w:basedOn w:val="Normal"/>
    <w:link w:val="BalloonTextChar"/>
    <w:uiPriority w:val="99"/>
    <w:semiHidden/>
    <w:unhideWhenUsed/>
    <w:rsid w:val="00F37433"/>
    <w:rPr>
      <w:rFonts w:ascii="Tahoma" w:hAnsi="Tahoma" w:cs="Tahoma"/>
      <w:sz w:val="16"/>
      <w:szCs w:val="16"/>
    </w:rPr>
  </w:style>
  <w:style w:type="character" w:customStyle="1" w:styleId="BalloonTextChar">
    <w:name w:val="Balloon Text Char"/>
    <w:basedOn w:val="DefaultParagraphFont"/>
    <w:link w:val="BalloonText"/>
    <w:uiPriority w:val="99"/>
    <w:semiHidden/>
    <w:rsid w:val="00F374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C975-3C0F-48C6-829A-26261D65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cp:revision>
  <cp:lastPrinted>2014-06-14T18:31:00Z</cp:lastPrinted>
  <dcterms:created xsi:type="dcterms:W3CDTF">2014-06-14T18:31:00Z</dcterms:created>
  <dcterms:modified xsi:type="dcterms:W3CDTF">2014-06-14T18:32:00Z</dcterms:modified>
</cp:coreProperties>
</file>