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65" w:rsidRPr="00275FE1" w:rsidRDefault="00E9422E" w:rsidP="00E9422E">
      <w:pPr>
        <w:rPr>
          <w:b/>
          <w:bCs/>
          <w:noProof/>
          <w:lang w:eastAsia="en-AU"/>
        </w:rPr>
      </w:pPr>
      <w:r w:rsidRPr="00275FE1">
        <w:rPr>
          <w:b/>
          <w:bCs/>
          <w:noProof/>
          <w:lang w:eastAsia="en-AU"/>
        </w:rPr>
        <w:t xml:space="preserve">Asterius </w:t>
      </w:r>
      <w:r w:rsidR="00275FE1">
        <w:rPr>
          <w:b/>
          <w:bCs/>
          <w:i/>
          <w:iCs/>
          <w:noProof/>
          <w:lang w:eastAsia="en-AU"/>
        </w:rPr>
        <w:t>On Psalm 1</w:t>
      </w:r>
      <w:r w:rsidRPr="00275FE1">
        <w:rPr>
          <w:b/>
          <w:bCs/>
          <w:i/>
          <w:iCs/>
          <w:noProof/>
          <w:lang w:eastAsia="en-AU"/>
        </w:rPr>
        <w:t>1 Homily 2</w:t>
      </w:r>
    </w:p>
    <w:p w:rsidR="00495F51" w:rsidRDefault="00495F51" w:rsidP="001D774D">
      <w:pPr>
        <w:rPr>
          <w:noProof/>
        </w:rPr>
      </w:pPr>
      <w:r>
        <w:rPr>
          <w:noProof/>
        </w:rPr>
        <w:t xml:space="preserve">As is well known, the </w:t>
      </w:r>
      <w:r w:rsidR="001D774D">
        <w:rPr>
          <w:noProof/>
        </w:rPr>
        <w:t xml:space="preserve">tenth century Hebrew </w:t>
      </w:r>
      <w:r>
        <w:rPr>
          <w:noProof/>
        </w:rPr>
        <w:t>Masoretic Text (MT) used for modern Bible translat</w:t>
      </w:r>
      <w:r w:rsidR="00495ABE">
        <w:rPr>
          <w:noProof/>
        </w:rPr>
        <w:t>i</w:t>
      </w:r>
      <w:r>
        <w:rPr>
          <w:noProof/>
        </w:rPr>
        <w:t xml:space="preserve">ons </w:t>
      </w:r>
      <w:r w:rsidR="00495ABE">
        <w:rPr>
          <w:noProof/>
        </w:rPr>
        <w:t>has 150 p</w:t>
      </w:r>
      <w:r>
        <w:rPr>
          <w:noProof/>
        </w:rPr>
        <w:t>salms whereas the</w:t>
      </w:r>
      <w:r w:rsidR="00495ABE">
        <w:rPr>
          <w:noProof/>
        </w:rPr>
        <w:t xml:space="preserve"> Psalter in the</w:t>
      </w:r>
      <w:r>
        <w:rPr>
          <w:noProof/>
        </w:rPr>
        <w:t xml:space="preserve"> Septuagint (LXX) has 151</w:t>
      </w:r>
      <w:r w:rsidR="00495ABE">
        <w:rPr>
          <w:noProof/>
        </w:rPr>
        <w:t xml:space="preserve"> psalms</w:t>
      </w:r>
      <w:r>
        <w:rPr>
          <w:noProof/>
        </w:rPr>
        <w:t>. This homily is base</w:t>
      </w:r>
      <w:r w:rsidR="00495ABE">
        <w:rPr>
          <w:noProof/>
        </w:rPr>
        <w:t xml:space="preserve">d on Psalm 11 LXX </w:t>
      </w:r>
      <w:r w:rsidR="001D774D">
        <w:rPr>
          <w:noProof/>
        </w:rPr>
        <w:t>which is</w:t>
      </w:r>
      <w:r w:rsidR="00495ABE">
        <w:rPr>
          <w:noProof/>
        </w:rPr>
        <w:t xml:space="preserve"> Psalm 12 MT.</w:t>
      </w:r>
    </w:p>
    <w:p w:rsidR="0027326D" w:rsidRDefault="00B17BF7" w:rsidP="007F1360">
      <w:pPr>
        <w:rPr>
          <w:noProof/>
        </w:rPr>
      </w:pPr>
      <w:r>
        <w:rPr>
          <w:noProof/>
        </w:rPr>
        <w:t>Most</w:t>
      </w:r>
      <w:r w:rsidR="001544FE">
        <w:rPr>
          <w:noProof/>
        </w:rPr>
        <w:t xml:space="preserve"> psalms have a title or superscription which </w:t>
      </w:r>
      <w:r w:rsidR="00611CD7">
        <w:rPr>
          <w:noProof/>
        </w:rPr>
        <w:t xml:space="preserve">may </w:t>
      </w:r>
      <w:r w:rsidR="00E969F5">
        <w:rPr>
          <w:noProof/>
        </w:rPr>
        <w:t>include</w:t>
      </w:r>
      <w:r w:rsidR="001544FE">
        <w:rPr>
          <w:noProof/>
        </w:rPr>
        <w:t xml:space="preserve"> </w:t>
      </w:r>
      <w:r w:rsidR="00E87442">
        <w:rPr>
          <w:noProof/>
        </w:rPr>
        <w:t>names of composers or people to whom a psalm is committed,</w:t>
      </w:r>
      <w:r w:rsidR="001544FE">
        <w:rPr>
          <w:noProof/>
        </w:rPr>
        <w:t xml:space="preserve"> </w:t>
      </w:r>
      <w:r w:rsidR="00E87442">
        <w:rPr>
          <w:noProof/>
        </w:rPr>
        <w:t xml:space="preserve">situational details, genre, and liturgical </w:t>
      </w:r>
      <w:r w:rsidR="009547F3">
        <w:rPr>
          <w:noProof/>
        </w:rPr>
        <w:t>directions</w:t>
      </w:r>
      <w:r w:rsidR="001544FE">
        <w:rPr>
          <w:noProof/>
        </w:rPr>
        <w:t>.</w:t>
      </w:r>
      <w:r w:rsidR="001544FE">
        <w:rPr>
          <w:rStyle w:val="FootnoteReference"/>
          <w:noProof/>
        </w:rPr>
        <w:footnoteReference w:id="1"/>
      </w:r>
      <w:r w:rsidR="001544FE">
        <w:rPr>
          <w:noProof/>
        </w:rPr>
        <w:t xml:space="preserve"> </w:t>
      </w:r>
      <w:r w:rsidR="00611CD7">
        <w:rPr>
          <w:noProof/>
        </w:rPr>
        <w:t>Whether these</w:t>
      </w:r>
      <w:r w:rsidR="00E87442">
        <w:rPr>
          <w:noProof/>
        </w:rPr>
        <w:t xml:space="preserve"> superscriptions </w:t>
      </w:r>
      <w:r w:rsidR="00611CD7">
        <w:rPr>
          <w:noProof/>
        </w:rPr>
        <w:t>were part of the original composition is unknown. In any case, the superscriptions are</w:t>
      </w:r>
      <w:r w:rsidR="001D774D">
        <w:rPr>
          <w:noProof/>
        </w:rPr>
        <w:t xml:space="preserve"> </w:t>
      </w:r>
      <w:r w:rsidR="0027326D">
        <w:rPr>
          <w:noProof/>
        </w:rPr>
        <w:t xml:space="preserve">incorporated into the </w:t>
      </w:r>
      <w:r w:rsidR="00E87442">
        <w:rPr>
          <w:noProof/>
        </w:rPr>
        <w:t xml:space="preserve">psalm </w:t>
      </w:r>
      <w:r w:rsidR="0027326D">
        <w:rPr>
          <w:noProof/>
        </w:rPr>
        <w:t xml:space="preserve">text </w:t>
      </w:r>
      <w:r w:rsidR="00E87442">
        <w:rPr>
          <w:noProof/>
        </w:rPr>
        <w:t xml:space="preserve">in the Hebrew MT, </w:t>
      </w:r>
      <w:r w:rsidR="00275FE1">
        <w:rPr>
          <w:noProof/>
        </w:rPr>
        <w:t xml:space="preserve">such that </w:t>
      </w:r>
      <w:r w:rsidR="0027326D">
        <w:rPr>
          <w:noProof/>
        </w:rPr>
        <w:t xml:space="preserve">when the text was versified in the sixteenth century, they </w:t>
      </w:r>
      <w:r w:rsidR="00E87442">
        <w:rPr>
          <w:noProof/>
        </w:rPr>
        <w:t>were</w:t>
      </w:r>
      <w:r w:rsidR="0027326D">
        <w:rPr>
          <w:noProof/>
        </w:rPr>
        <w:t xml:space="preserve"> counted as the first verse. </w:t>
      </w:r>
      <w:r w:rsidR="004C182C">
        <w:rPr>
          <w:noProof/>
        </w:rPr>
        <w:t xml:space="preserve">This incorporaton is already evident in some of the psalm fragments </w:t>
      </w:r>
      <w:r w:rsidR="00275FE1">
        <w:rPr>
          <w:noProof/>
        </w:rPr>
        <w:t xml:space="preserve">found </w:t>
      </w:r>
      <w:r w:rsidR="004C182C">
        <w:rPr>
          <w:noProof/>
        </w:rPr>
        <w:t xml:space="preserve">among the </w:t>
      </w:r>
      <w:r w:rsidR="004C182C" w:rsidRPr="004C182C">
        <w:t>Dead Sea Scrolls</w:t>
      </w:r>
      <w:r w:rsidR="00275FE1">
        <w:t>. For</w:t>
      </w:r>
      <w:r w:rsidR="004C182C">
        <w:t xml:space="preserve"> </w:t>
      </w:r>
      <w:r w:rsidR="004C182C" w:rsidRPr="004F4FAC">
        <w:t xml:space="preserve">example, </w:t>
      </w:r>
      <w:r w:rsidR="004F4FAC">
        <w:t xml:space="preserve">the oldest fragment </w:t>
      </w:r>
      <w:r w:rsidR="004F4FAC" w:rsidRPr="004F4FAC">
        <w:rPr>
          <w:rFonts w:ascii="Calibri" w:eastAsia="Calibri" w:hAnsi="Calibri" w:cs="Arial"/>
        </w:rPr>
        <w:t>4QPs</w:t>
      </w:r>
      <w:r w:rsidR="004F4FAC" w:rsidRPr="004F4FAC">
        <w:rPr>
          <w:rFonts w:ascii="Calibri" w:eastAsia="Calibri" w:hAnsi="Calibri" w:cs="Arial"/>
          <w:vertAlign w:val="superscript"/>
        </w:rPr>
        <w:t>a</w:t>
      </w:r>
      <w:r w:rsidR="009547F3">
        <w:rPr>
          <w:rFonts w:ascii="Calibri" w:eastAsia="Calibri" w:hAnsi="Calibri" w:cs="Arial"/>
          <w:vertAlign w:val="superscript"/>
        </w:rPr>
        <w:t xml:space="preserve"> </w:t>
      </w:r>
      <w:r w:rsidR="002C62E7">
        <w:rPr>
          <w:rFonts w:ascii="Calibri" w:eastAsia="Calibri" w:hAnsi="Calibri" w:cs="Arial"/>
        </w:rPr>
        <w:t>(= 4Q</w:t>
      </w:r>
      <w:r w:rsidR="007F1360">
        <w:rPr>
          <w:rFonts w:ascii="Calibri" w:eastAsia="Calibri" w:hAnsi="Calibri" w:cs="Arial"/>
        </w:rPr>
        <w:t>83</w:t>
      </w:r>
      <w:r w:rsidR="002C62E7">
        <w:rPr>
          <w:rFonts w:ascii="Calibri" w:eastAsia="Calibri" w:hAnsi="Calibri" w:cs="Arial"/>
        </w:rPr>
        <w:t xml:space="preserve">, </w:t>
      </w:r>
      <w:r w:rsidR="009547F3" w:rsidRPr="009547F3">
        <w:rPr>
          <w:rFonts w:ascii="Calibri" w:eastAsia="Calibri" w:hAnsi="Calibri" w:cs="Arial"/>
        </w:rPr>
        <w:t>mid</w:t>
      </w:r>
      <w:r w:rsidR="004F4FAC" w:rsidRPr="009547F3">
        <w:rPr>
          <w:rFonts w:ascii="Calibri" w:eastAsia="Calibri" w:hAnsi="Calibri" w:cs="Arial"/>
        </w:rPr>
        <w:t xml:space="preserve"> </w:t>
      </w:r>
      <w:r w:rsidR="009547F3">
        <w:t xml:space="preserve">second century BCE) </w:t>
      </w:r>
      <w:r w:rsidR="004F4FAC" w:rsidRPr="004F4FAC">
        <w:t>shows</w:t>
      </w:r>
      <w:r w:rsidR="004F4FAC">
        <w:t xml:space="preserve"> ‘no special separation between title and text’</w:t>
      </w:r>
      <w:r w:rsidR="00611CD7">
        <w:t>.</w:t>
      </w:r>
      <w:r w:rsidR="004C182C" w:rsidRPr="004C182C">
        <w:rPr>
          <w:rStyle w:val="FootnoteReference"/>
        </w:rPr>
        <w:footnoteReference w:id="2"/>
      </w:r>
      <w:r w:rsidR="004C182C" w:rsidRPr="004C182C">
        <w:rPr>
          <w:rFonts w:ascii="Calibri" w:eastAsia="Calibri" w:hAnsi="Calibri" w:cs="Arial"/>
        </w:rPr>
        <w:t xml:space="preserve"> </w:t>
      </w:r>
      <w:r w:rsidR="00611CD7">
        <w:rPr>
          <w:rFonts w:ascii="Calibri" w:eastAsia="Calibri" w:hAnsi="Calibri" w:cs="Arial"/>
        </w:rPr>
        <w:t>More tellingly,</w:t>
      </w:r>
      <w:r w:rsidR="00275FE1">
        <w:rPr>
          <w:rFonts w:ascii="Calibri" w:eastAsia="Calibri" w:hAnsi="Calibri" w:cs="Arial"/>
        </w:rPr>
        <w:t xml:space="preserve"> </w:t>
      </w:r>
      <w:r w:rsidR="00275FE1" w:rsidRPr="00275FE1">
        <w:rPr>
          <w:rFonts w:ascii="Calibri" w:eastAsia="Calibri" w:hAnsi="Calibri" w:cs="Arial"/>
        </w:rPr>
        <w:t>4QpPs</w:t>
      </w:r>
      <w:r w:rsidR="007F1360">
        <w:rPr>
          <w:rFonts w:ascii="Calibri" w:eastAsia="Calibri" w:hAnsi="Calibri" w:cs="Arial"/>
          <w:vertAlign w:val="superscript"/>
        </w:rPr>
        <w:t>a</w:t>
      </w:r>
      <w:r w:rsidR="00275FE1" w:rsidRPr="00275FE1">
        <w:rPr>
          <w:rFonts w:ascii="Calibri" w:eastAsia="Calibri" w:hAnsi="Calibri" w:cs="Arial"/>
        </w:rPr>
        <w:t xml:space="preserve"> </w:t>
      </w:r>
      <w:r w:rsidR="007F1360">
        <w:rPr>
          <w:rFonts w:ascii="Calibri" w:eastAsia="Calibri" w:hAnsi="Calibri" w:cs="Arial"/>
        </w:rPr>
        <w:t xml:space="preserve">(= 4Q171 </w:t>
      </w:r>
      <w:proofErr w:type="spellStart"/>
      <w:r w:rsidR="007F1360">
        <w:rPr>
          <w:rFonts w:ascii="Calibri" w:eastAsia="Calibri" w:hAnsi="Calibri" w:cs="Arial"/>
          <w:i/>
          <w:iCs/>
        </w:rPr>
        <w:t>Pesher</w:t>
      </w:r>
      <w:proofErr w:type="spellEnd"/>
      <w:r w:rsidR="007F1360">
        <w:rPr>
          <w:rFonts w:ascii="Calibri" w:eastAsia="Calibri" w:hAnsi="Calibri" w:cs="Arial"/>
          <w:i/>
          <w:iCs/>
        </w:rPr>
        <w:t xml:space="preserve"> Psalms</w:t>
      </w:r>
      <w:r w:rsidR="007F1360">
        <w:rPr>
          <w:rFonts w:ascii="Calibri" w:eastAsia="Calibri" w:hAnsi="Calibri" w:cs="Arial"/>
        </w:rPr>
        <w:t xml:space="preserve">) </w:t>
      </w:r>
      <w:r w:rsidR="00275FE1">
        <w:rPr>
          <w:rFonts w:ascii="Calibri" w:eastAsia="Calibri" w:hAnsi="Calibri" w:cs="Arial"/>
        </w:rPr>
        <w:t xml:space="preserve">which </w:t>
      </w:r>
      <w:r w:rsidR="00E969F5">
        <w:rPr>
          <w:rFonts w:ascii="Calibri" w:eastAsia="Calibri" w:hAnsi="Calibri" w:cs="Arial"/>
        </w:rPr>
        <w:t>contains commentary on Psalm 45</w:t>
      </w:r>
      <w:r w:rsidR="00611CD7">
        <w:rPr>
          <w:rFonts w:ascii="Calibri" w:eastAsia="Calibri" w:hAnsi="Calibri" w:cs="Arial"/>
        </w:rPr>
        <w:t>,</w:t>
      </w:r>
      <w:r w:rsidR="00275FE1">
        <w:rPr>
          <w:rFonts w:ascii="Calibri" w:eastAsia="Calibri" w:hAnsi="Calibri" w:cs="Arial"/>
        </w:rPr>
        <w:t xml:space="preserve"> includes commentary on </w:t>
      </w:r>
      <w:r w:rsidR="00E969F5">
        <w:rPr>
          <w:rFonts w:ascii="Calibri" w:eastAsia="Calibri" w:hAnsi="Calibri" w:cs="Arial"/>
        </w:rPr>
        <w:t>its</w:t>
      </w:r>
      <w:r w:rsidR="00275FE1">
        <w:rPr>
          <w:rFonts w:ascii="Calibri" w:eastAsia="Calibri" w:hAnsi="Calibri" w:cs="Arial"/>
        </w:rPr>
        <w:t xml:space="preserve"> superscription</w:t>
      </w:r>
      <w:r w:rsidR="00611CD7">
        <w:rPr>
          <w:rFonts w:ascii="Calibri" w:eastAsia="Calibri" w:hAnsi="Calibri" w:cs="Arial"/>
        </w:rPr>
        <w:t>, as if it were part of the psalm proper</w:t>
      </w:r>
      <w:r w:rsidR="00275FE1">
        <w:rPr>
          <w:rFonts w:ascii="Calibri" w:eastAsia="Calibri" w:hAnsi="Calibri" w:cs="Arial"/>
        </w:rPr>
        <w:t>.</w:t>
      </w:r>
      <w:r w:rsidR="001D774D">
        <w:rPr>
          <w:rStyle w:val="FootnoteReference"/>
          <w:rFonts w:ascii="Calibri" w:eastAsia="Calibri" w:hAnsi="Calibri" w:cs="Arial"/>
        </w:rPr>
        <w:footnoteReference w:id="3"/>
      </w:r>
      <w:r w:rsidR="00275FE1">
        <w:rPr>
          <w:rFonts w:ascii="Calibri" w:eastAsia="Calibri" w:hAnsi="Calibri" w:cs="Arial"/>
        </w:rPr>
        <w:t xml:space="preserve"> </w:t>
      </w:r>
      <w:r w:rsidR="00611CD7">
        <w:t>Early</w:t>
      </w:r>
      <w:r w:rsidR="0027326D">
        <w:rPr>
          <w:noProof/>
        </w:rPr>
        <w:t xml:space="preserve"> Christians who used the LXX </w:t>
      </w:r>
      <w:r w:rsidR="00611CD7">
        <w:rPr>
          <w:noProof/>
        </w:rPr>
        <w:t xml:space="preserve">also </w:t>
      </w:r>
      <w:r w:rsidR="00275FE1">
        <w:rPr>
          <w:rStyle w:val="text"/>
        </w:rPr>
        <w:t>considered the psalm title or</w:t>
      </w:r>
      <w:r w:rsidR="0027326D">
        <w:rPr>
          <w:rStyle w:val="text"/>
        </w:rPr>
        <w:t xml:space="preserve"> superscription </w:t>
      </w:r>
      <w:r w:rsidR="00275FE1">
        <w:rPr>
          <w:rStyle w:val="text"/>
        </w:rPr>
        <w:t>to be</w:t>
      </w:r>
      <w:r w:rsidR="0027326D">
        <w:rPr>
          <w:rStyle w:val="text"/>
        </w:rPr>
        <w:t xml:space="preserve"> part of scripture and would exegete it as such.</w:t>
      </w:r>
    </w:p>
    <w:p w:rsidR="00B740C3" w:rsidRDefault="00495F51" w:rsidP="00B705D5">
      <w:r>
        <w:rPr>
          <w:noProof/>
        </w:rPr>
        <w:t xml:space="preserve">The superscription for </w:t>
      </w:r>
      <w:r w:rsidR="00B705D5">
        <w:rPr>
          <w:noProof/>
        </w:rPr>
        <w:t>Psalm 11 LXX</w:t>
      </w:r>
      <w:r>
        <w:rPr>
          <w:noProof/>
        </w:rPr>
        <w:t xml:space="preserve"> in the Hebrew MT reads: ‘</w:t>
      </w:r>
      <w:r>
        <w:rPr>
          <w:rStyle w:val="text"/>
        </w:rPr>
        <w:t xml:space="preserve">To the leader: according to The </w:t>
      </w:r>
      <w:proofErr w:type="spellStart"/>
      <w:r w:rsidRPr="00E56686">
        <w:rPr>
          <w:rStyle w:val="text"/>
          <w:i/>
          <w:iCs/>
        </w:rPr>
        <w:t>Sheminith</w:t>
      </w:r>
      <w:proofErr w:type="spellEnd"/>
      <w:r>
        <w:rPr>
          <w:rStyle w:val="text"/>
        </w:rPr>
        <w:t>. A Psalm of David.’</w:t>
      </w:r>
      <w:r w:rsidR="00495ABE">
        <w:rPr>
          <w:rStyle w:val="text"/>
        </w:rPr>
        <w:t xml:space="preserve"> </w:t>
      </w:r>
      <w:r>
        <w:rPr>
          <w:rStyle w:val="text"/>
        </w:rPr>
        <w:t xml:space="preserve">In the Greek LXX </w:t>
      </w:r>
      <w:r w:rsidR="00495ABE">
        <w:rPr>
          <w:rStyle w:val="text"/>
        </w:rPr>
        <w:t xml:space="preserve">it </w:t>
      </w:r>
      <w:r>
        <w:rPr>
          <w:rStyle w:val="text"/>
        </w:rPr>
        <w:t>reads</w:t>
      </w:r>
      <w:r w:rsidR="00495ABE">
        <w:rPr>
          <w:rStyle w:val="text"/>
        </w:rPr>
        <w:t>:</w:t>
      </w:r>
      <w:r>
        <w:rPr>
          <w:rStyle w:val="text"/>
        </w:rPr>
        <w:t xml:space="preserve"> ‘To the end, upon the eighth. A Psalm of David’.</w:t>
      </w:r>
      <w:r w:rsidR="00495ABE">
        <w:rPr>
          <w:rStyle w:val="FootnoteReference"/>
        </w:rPr>
        <w:footnoteReference w:id="4"/>
      </w:r>
      <w:r w:rsidR="00085B06">
        <w:rPr>
          <w:rStyle w:val="text"/>
        </w:rPr>
        <w:t xml:space="preserve"> </w:t>
      </w:r>
      <w:proofErr w:type="spellStart"/>
      <w:r>
        <w:rPr>
          <w:rStyle w:val="text"/>
        </w:rPr>
        <w:t>Asterius</w:t>
      </w:r>
      <w:proofErr w:type="spellEnd"/>
      <w:r>
        <w:rPr>
          <w:rStyle w:val="text"/>
        </w:rPr>
        <w:t xml:space="preserve"> spends </w:t>
      </w:r>
      <w:r w:rsidR="00275FE1">
        <w:rPr>
          <w:rStyle w:val="text"/>
        </w:rPr>
        <w:t>considerable</w:t>
      </w:r>
      <w:r>
        <w:rPr>
          <w:rStyle w:val="text"/>
        </w:rPr>
        <w:t xml:space="preserve"> time </w:t>
      </w:r>
      <w:r w:rsidR="00CC5A21">
        <w:rPr>
          <w:rStyle w:val="text"/>
        </w:rPr>
        <w:t xml:space="preserve">in the first part of the homily </w:t>
      </w:r>
      <w:r w:rsidR="00E56686">
        <w:rPr>
          <w:rStyle w:val="text"/>
        </w:rPr>
        <w:t>expounding</w:t>
      </w:r>
      <w:r w:rsidR="00495ABE">
        <w:rPr>
          <w:rStyle w:val="text"/>
        </w:rPr>
        <w:t xml:space="preserve"> </w:t>
      </w:r>
      <w:r w:rsidR="00E56686">
        <w:rPr>
          <w:rStyle w:val="text"/>
        </w:rPr>
        <w:t>this title</w:t>
      </w:r>
      <w:r w:rsidR="00275FE1">
        <w:rPr>
          <w:rStyle w:val="text"/>
        </w:rPr>
        <w:t xml:space="preserve">, </w:t>
      </w:r>
      <w:r w:rsidR="00B705D5">
        <w:rPr>
          <w:rStyle w:val="text"/>
        </w:rPr>
        <w:t xml:space="preserve">and </w:t>
      </w:r>
      <w:r w:rsidR="00E56686">
        <w:rPr>
          <w:rStyle w:val="text"/>
        </w:rPr>
        <w:t>in particular the</w:t>
      </w:r>
      <w:r>
        <w:rPr>
          <w:rStyle w:val="text"/>
        </w:rPr>
        <w:t xml:space="preserve"> significance of the eighth </w:t>
      </w:r>
      <w:r w:rsidR="00085B06">
        <w:rPr>
          <w:rStyle w:val="text"/>
        </w:rPr>
        <w:t>day in redemption history</w:t>
      </w:r>
      <w:r>
        <w:rPr>
          <w:rStyle w:val="text"/>
        </w:rPr>
        <w:t xml:space="preserve">. He ends </w:t>
      </w:r>
      <w:r w:rsidR="00495ABE">
        <w:rPr>
          <w:rStyle w:val="text"/>
        </w:rPr>
        <w:t xml:space="preserve">this section </w:t>
      </w:r>
      <w:r>
        <w:rPr>
          <w:rStyle w:val="text"/>
        </w:rPr>
        <w:t xml:space="preserve">with the </w:t>
      </w:r>
      <w:r w:rsidR="00495ABE">
        <w:rPr>
          <w:rStyle w:val="text"/>
        </w:rPr>
        <w:t xml:space="preserve">portion I have translated below. </w:t>
      </w:r>
      <w:r w:rsidR="00495ABE">
        <w:t xml:space="preserve">After this, </w:t>
      </w:r>
      <w:proofErr w:type="spellStart"/>
      <w:r w:rsidR="00495ABE">
        <w:t>Asterius</w:t>
      </w:r>
      <w:proofErr w:type="spellEnd"/>
      <w:r w:rsidR="00495ABE">
        <w:t xml:space="preserve"> picks up the next verse </w:t>
      </w:r>
      <w:r w:rsidR="00085B06">
        <w:t xml:space="preserve">in Psalm 11 LXX </w:t>
      </w:r>
      <w:r w:rsidR="00275FE1">
        <w:rPr>
          <w:rFonts w:ascii="Times New Roman" w:hAnsi="Times New Roman" w:cs="Times New Roman"/>
          <w:sz w:val="24"/>
          <w:szCs w:val="24"/>
        </w:rPr>
        <w:t>–</w:t>
      </w:r>
      <w:r w:rsidR="00275FE1">
        <w:t xml:space="preserve"> </w:t>
      </w:r>
      <w:r w:rsidR="00495ABE">
        <w:t xml:space="preserve">‘Save me Lord, for the godly man has failed’ </w:t>
      </w:r>
      <w:r w:rsidR="00275FE1">
        <w:rPr>
          <w:rFonts w:ascii="Times New Roman" w:hAnsi="Times New Roman" w:cs="Times New Roman"/>
          <w:sz w:val="24"/>
          <w:szCs w:val="24"/>
        </w:rPr>
        <w:t>–</w:t>
      </w:r>
      <w:r w:rsidR="00495ABE">
        <w:t>and continues explaining the psalm, line by line</w:t>
      </w:r>
      <w:r w:rsidR="00B740C3">
        <w:t>, but rather more quickly.</w:t>
      </w:r>
    </w:p>
    <w:p w:rsidR="00242CBD" w:rsidRDefault="00242CBD" w:rsidP="00FC0C25">
      <w:r>
        <w:t>Kathie</w:t>
      </w:r>
      <w:r>
        <w:br/>
      </w:r>
      <w:r w:rsidR="00FC0C25">
        <w:t>9</w:t>
      </w:r>
      <w:r>
        <w:t xml:space="preserve"> Jul 2015</w:t>
      </w:r>
    </w:p>
    <w:p w:rsidR="00242CBD" w:rsidRDefault="00242CBD" w:rsidP="00B705D5"/>
    <w:p w:rsidR="002D1DC1" w:rsidRDefault="002D1DC1">
      <w:pPr>
        <w:rPr>
          <w:b/>
          <w:bCs/>
        </w:rPr>
        <w:sectPr w:rsidR="002D1DC1" w:rsidSect="00DC70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5B06" w:rsidRPr="00B740C3" w:rsidRDefault="00085B06" w:rsidP="00CC5A21">
      <w:pPr>
        <w:rPr>
          <w:b/>
          <w:bCs/>
        </w:rPr>
      </w:pPr>
      <w:r w:rsidRPr="00B740C3">
        <w:rPr>
          <w:b/>
          <w:bCs/>
        </w:rPr>
        <w:lastRenderedPageBreak/>
        <w:t>Translation</w:t>
      </w:r>
    </w:p>
    <w:p w:rsidR="00085B06" w:rsidRPr="00851693" w:rsidRDefault="00085B06" w:rsidP="00FC0C25">
      <w:pPr>
        <w:rPr>
          <w:noProof/>
          <w:lang w:val="el-GR" w:eastAsia="en-AU"/>
        </w:rPr>
      </w:pPr>
      <w:r>
        <w:t xml:space="preserve">13. On the eighth day he was raised from the dead. </w:t>
      </w:r>
      <w:r w:rsidRPr="00FC0C25">
        <w:rPr>
          <w:i/>
          <w:iCs/>
        </w:rPr>
        <w:t>For the end, upon the eighth</w:t>
      </w:r>
      <w:r>
        <w:t>,</w:t>
      </w:r>
      <w:r>
        <w:rPr>
          <w:rStyle w:val="FootnoteReference"/>
        </w:rPr>
        <w:footnoteReference w:id="5"/>
      </w:r>
      <w:r>
        <w:t xml:space="preserve"> when the end of the world became the beginning of the world </w:t>
      </w:r>
      <w:r w:rsidRPr="005768CB">
        <w:t xml:space="preserve">and </w:t>
      </w:r>
      <w:r w:rsidR="00FC0C25">
        <w:t>since</w:t>
      </w:r>
      <w:r w:rsidRPr="005768CB">
        <w:t xml:space="preserve"> death</w:t>
      </w:r>
      <w:r>
        <w:t xml:space="preserve"> was cut off</w:t>
      </w:r>
      <w:r>
        <w:rPr>
          <w:rStyle w:val="FootnoteReference"/>
        </w:rPr>
        <w:footnoteReference w:id="6"/>
      </w:r>
      <w:r>
        <w:t xml:space="preserve"> on the eighth. </w:t>
      </w:r>
      <w:r w:rsidRPr="00FC0C25">
        <w:rPr>
          <w:i/>
          <w:iCs/>
        </w:rPr>
        <w:t>For the end, upon the eighth</w:t>
      </w:r>
      <w:r>
        <w:t xml:space="preserve">, when also on the second eighth </w:t>
      </w:r>
      <w:r w:rsidRPr="00F64710">
        <w:t>he appear</w:t>
      </w:r>
      <w:r>
        <w:t>e</w:t>
      </w:r>
      <w:r w:rsidRPr="00F64710">
        <w:t xml:space="preserve">d </w:t>
      </w:r>
      <w:r>
        <w:t>to</w:t>
      </w:r>
      <w:r w:rsidRPr="00F64710">
        <w:t xml:space="preserve"> Thomas and </w:t>
      </w:r>
      <w:r>
        <w:t>cut off</w:t>
      </w:r>
      <w:r w:rsidR="00C45A28">
        <w:rPr>
          <w:rStyle w:val="FootnoteReference"/>
        </w:rPr>
        <w:footnoteReference w:id="7"/>
      </w:r>
      <w:r>
        <w:t xml:space="preserve"> </w:t>
      </w:r>
      <w:r w:rsidRPr="00F64710">
        <w:t xml:space="preserve">his </w:t>
      </w:r>
      <w:r>
        <w:t>dis</w:t>
      </w:r>
      <w:r w:rsidRPr="00F64710">
        <w:t xml:space="preserve">belief </w:t>
      </w:r>
      <w:r>
        <w:t>by</w:t>
      </w:r>
      <w:r w:rsidRPr="00F64710">
        <w:t xml:space="preserve"> </w:t>
      </w:r>
      <w:r w:rsidR="00242CBD">
        <w:t>belief</w:t>
      </w:r>
      <w:r w:rsidRPr="00F64710">
        <w:t>.</w:t>
      </w:r>
      <w:r w:rsidR="00242CBD">
        <w:rPr>
          <w:rStyle w:val="FootnoteReference"/>
        </w:rPr>
        <w:footnoteReference w:id="8"/>
      </w:r>
      <w:r>
        <w:t xml:space="preserve"> For the one who said</w:t>
      </w:r>
      <w:r w:rsidRPr="00F64710">
        <w:t xml:space="preserve"> </w:t>
      </w:r>
      <w:r>
        <w:t>‘</w:t>
      </w:r>
      <w:r w:rsidR="00E969F5">
        <w:rPr>
          <w:i/>
          <w:iCs/>
        </w:rPr>
        <w:t>u</w:t>
      </w:r>
      <w:r w:rsidRPr="00DB575E">
        <w:rPr>
          <w:i/>
          <w:iCs/>
        </w:rPr>
        <w:t>nless I put my hand in his side</w:t>
      </w:r>
      <w:r w:rsidR="00930F6C">
        <w:rPr>
          <w:i/>
          <w:iCs/>
        </w:rPr>
        <w:t>’</w:t>
      </w:r>
      <w:r>
        <w:t>,</w:t>
      </w:r>
      <w:r>
        <w:rPr>
          <w:rStyle w:val="FootnoteReference"/>
        </w:rPr>
        <w:footnoteReference w:id="9"/>
      </w:r>
      <w:r w:rsidRPr="00F64710">
        <w:t xml:space="preserve"> </w:t>
      </w:r>
      <w:r w:rsidR="002F7B5F">
        <w:t>used the</w:t>
      </w:r>
      <w:r w:rsidRPr="00F64710">
        <w:t xml:space="preserve"> sight alon</w:t>
      </w:r>
      <w:r>
        <w:t>e</w:t>
      </w:r>
      <w:r>
        <w:rPr>
          <w:lang w:val="el-GR"/>
        </w:rPr>
        <w:t xml:space="preserve"> </w:t>
      </w:r>
      <w:r w:rsidRPr="00F64710">
        <w:t>of Ch</w:t>
      </w:r>
      <w:r>
        <w:t xml:space="preserve">rist as </w:t>
      </w:r>
      <w:r w:rsidR="002F7B5F">
        <w:t xml:space="preserve">a </w:t>
      </w:r>
      <w:r w:rsidR="007A239D">
        <w:t>knife</w:t>
      </w:r>
      <w:r w:rsidR="007A239D">
        <w:rPr>
          <w:rStyle w:val="FootnoteReference"/>
        </w:rPr>
        <w:footnoteReference w:id="10"/>
      </w:r>
      <w:r>
        <w:t xml:space="preserve"> and cut off disbelief</w:t>
      </w:r>
      <w:r w:rsidR="002F7B5F">
        <w:t>,</w:t>
      </w:r>
      <w:r w:rsidR="007A239D">
        <w:rPr>
          <w:rStyle w:val="FootnoteReference"/>
        </w:rPr>
        <w:footnoteReference w:id="11"/>
      </w:r>
      <w:r>
        <w:t xml:space="preserve"> and </w:t>
      </w:r>
      <w:r w:rsidRPr="00F64710">
        <w:t>believing in him he said</w:t>
      </w:r>
      <w:r w:rsidR="002F7B5F">
        <w:t>,</w:t>
      </w:r>
      <w:r w:rsidRPr="00F64710">
        <w:t xml:space="preserve"> </w:t>
      </w:r>
      <w:r>
        <w:t>‘</w:t>
      </w:r>
      <w:r w:rsidR="00E969F5">
        <w:rPr>
          <w:i/>
          <w:iCs/>
        </w:rPr>
        <w:t>m</w:t>
      </w:r>
      <w:r w:rsidRPr="002F7B5F">
        <w:rPr>
          <w:i/>
          <w:iCs/>
        </w:rPr>
        <w:t>y Lord and my God</w:t>
      </w:r>
      <w:r w:rsidRPr="00F64710">
        <w:t>.</w:t>
      </w:r>
      <w:r>
        <w:t>’</w:t>
      </w:r>
      <w:r w:rsidR="002F7B5F">
        <w:rPr>
          <w:rStyle w:val="FootnoteReference"/>
        </w:rPr>
        <w:footnoteReference w:id="12"/>
      </w:r>
      <w:r>
        <w:t xml:space="preserve">  </w:t>
      </w:r>
    </w:p>
    <w:p w:rsidR="00085B06" w:rsidRDefault="00085B06" w:rsidP="003F69F2">
      <w:r>
        <w:t xml:space="preserve">14. </w:t>
      </w:r>
      <w:r w:rsidRPr="00205702">
        <w:rPr>
          <w:i/>
          <w:iCs/>
        </w:rPr>
        <w:t>Eight days after</w:t>
      </w:r>
      <w:r w:rsidRPr="00F64710">
        <w:t xml:space="preserve"> the resurrection </w:t>
      </w:r>
      <w:r w:rsidRPr="00205702">
        <w:rPr>
          <w:i/>
          <w:iCs/>
        </w:rPr>
        <w:t>Jesus came</w:t>
      </w:r>
      <w:r w:rsidRPr="00F64710">
        <w:t xml:space="preserve"> </w:t>
      </w:r>
      <w:r>
        <w:t xml:space="preserve">to the disciples </w:t>
      </w:r>
      <w:r w:rsidRPr="00205702">
        <w:rPr>
          <w:i/>
          <w:iCs/>
        </w:rPr>
        <w:t>when the doors were shut</w:t>
      </w:r>
      <w:r w:rsidRPr="00F64710">
        <w:t xml:space="preserve"> </w:t>
      </w:r>
      <w:r w:rsidRPr="00205702">
        <w:rPr>
          <w:i/>
          <w:iCs/>
        </w:rPr>
        <w:t xml:space="preserve">and stood among them and said: ‘Peace </w:t>
      </w:r>
      <w:r w:rsidR="002F7B5F">
        <w:rPr>
          <w:i/>
          <w:iCs/>
        </w:rPr>
        <w:t>be with</w:t>
      </w:r>
      <w:r w:rsidRPr="00205702">
        <w:rPr>
          <w:i/>
          <w:iCs/>
        </w:rPr>
        <w:t xml:space="preserve"> you</w:t>
      </w:r>
      <w:r>
        <w:rPr>
          <w:i/>
          <w:iCs/>
        </w:rPr>
        <w:t>.</w:t>
      </w:r>
      <w:r w:rsidRPr="00205702">
        <w:rPr>
          <w:i/>
          <w:iCs/>
        </w:rPr>
        <w:t>’</w:t>
      </w:r>
      <w:r>
        <w:rPr>
          <w:rStyle w:val="FootnoteReference"/>
        </w:rPr>
        <w:footnoteReference w:id="13"/>
      </w:r>
      <w:r>
        <w:t xml:space="preserve"> For the enem</w:t>
      </w:r>
      <w:r w:rsidRPr="00F64710">
        <w:t>y death</w:t>
      </w:r>
      <w:r>
        <w:t>,</w:t>
      </w:r>
      <w:r w:rsidRPr="00F64710">
        <w:t xml:space="preserve"> by </w:t>
      </w:r>
      <w:r>
        <w:t xml:space="preserve">[his] </w:t>
      </w:r>
      <w:r w:rsidRPr="00F64710">
        <w:t xml:space="preserve">death </w:t>
      </w:r>
      <w:r>
        <w:t xml:space="preserve">had been put to death. </w:t>
      </w:r>
      <w:r w:rsidRPr="00911628">
        <w:rPr>
          <w:i/>
          <w:iCs/>
        </w:rPr>
        <w:t>Then he said to Thomas: ‘Put your hand in my side</w:t>
      </w:r>
      <w:r w:rsidRPr="00F64710">
        <w:t>,</w:t>
      </w:r>
      <w:r w:rsidR="007A239D">
        <w:rPr>
          <w:rStyle w:val="FootnoteReference"/>
        </w:rPr>
        <w:footnoteReference w:id="14"/>
      </w:r>
      <w:r>
        <w:t xml:space="preserve"> </w:t>
      </w:r>
      <w:r w:rsidRPr="003F69F2">
        <w:t>not to pierce my side with a spear as the</w:t>
      </w:r>
      <w:r w:rsidR="002F7B5F" w:rsidRPr="003F69F2">
        <w:t xml:space="preserve"> solider, but (so that</w:t>
      </w:r>
      <w:r w:rsidRPr="003F69F2">
        <w:t>) you may receive the blood and water from my side in your mind</w:t>
      </w:r>
      <w:r w:rsidR="00E969F5" w:rsidRPr="003F69F2">
        <w:t>,</w:t>
      </w:r>
      <w:r w:rsidRPr="003F69F2">
        <w:t xml:space="preserve"> and learn why the blood and water came out, the two witnesses of the lord</w:t>
      </w:r>
      <w:r w:rsidR="002F7B5F" w:rsidRPr="003F69F2">
        <w:t>-</w:t>
      </w:r>
      <w:r w:rsidRPr="003F69F2">
        <w:t>killers: the blood in order to convict the Jews who said; ‘</w:t>
      </w:r>
      <w:r w:rsidRPr="003F69F2">
        <w:rPr>
          <w:i/>
          <w:iCs/>
        </w:rPr>
        <w:t>His blood be on us and on our children’</w:t>
      </w:r>
      <w:r w:rsidRPr="003F69F2">
        <w:t>;</w:t>
      </w:r>
      <w:r w:rsidRPr="003F69F2">
        <w:rPr>
          <w:rStyle w:val="FootnoteReference"/>
        </w:rPr>
        <w:footnoteReference w:id="15"/>
      </w:r>
      <w:r w:rsidRPr="003F69F2">
        <w:t xml:space="preserve"> the water, in order to </w:t>
      </w:r>
      <w:r w:rsidR="00790FB4" w:rsidRPr="003F69F2">
        <w:t>accuse</w:t>
      </w:r>
      <w:r w:rsidRPr="003F69F2">
        <w:t xml:space="preserve"> Pilate, who taking water and washing his hands, as </w:t>
      </w:r>
      <w:r w:rsidR="003F69F2" w:rsidRPr="003F69F2">
        <w:t>innocent</w:t>
      </w:r>
      <w:r w:rsidRPr="003F69F2">
        <w:t xml:space="preserve"> a</w:t>
      </w:r>
      <w:r w:rsidR="003F69F2" w:rsidRPr="003F69F2">
        <w:t>n</w:t>
      </w:r>
      <w:r w:rsidRPr="003F69F2">
        <w:t xml:space="preserve"> </w:t>
      </w:r>
      <w:r w:rsidR="003F69F2" w:rsidRPr="003F69F2">
        <w:t>innocent</w:t>
      </w:r>
      <w:r w:rsidRPr="003F69F2">
        <w:t xml:space="preserve"> and righteous [man] scourged and crucified.</w:t>
      </w:r>
      <w:r w:rsidR="003F69F2" w:rsidRPr="003F69F2">
        <w:rPr>
          <w:rStyle w:val="FootnoteReference"/>
        </w:rPr>
        <w:footnoteReference w:id="16"/>
      </w:r>
      <w:r w:rsidRPr="003F69F2">
        <w:t xml:space="preserve"> </w:t>
      </w:r>
      <w:r w:rsidR="007A239D" w:rsidRPr="003F69F2">
        <w:t>Put</w:t>
      </w:r>
      <w:r w:rsidRPr="003F69F2">
        <w:t xml:space="preserve"> your finger, Thomas and </w:t>
      </w:r>
      <w:r w:rsidR="007A239D" w:rsidRPr="003F69F2">
        <w:t>put</w:t>
      </w:r>
      <w:r w:rsidRPr="003F69F2">
        <w:t xml:space="preserve"> your hand, first your finger and thus your hand. First</w:t>
      </w:r>
      <w:r w:rsidRPr="003F69F2">
        <w:rPr>
          <w:i/>
          <w:iCs/>
        </w:rPr>
        <w:t xml:space="preserve"> taste that the lord is good</w:t>
      </w:r>
      <w:r w:rsidRPr="003F69F2">
        <w:t>,</w:t>
      </w:r>
      <w:r w:rsidR="007A239D" w:rsidRPr="003F69F2">
        <w:rPr>
          <w:rStyle w:val="FootnoteReference"/>
        </w:rPr>
        <w:footnoteReference w:id="17"/>
      </w:r>
      <w:r w:rsidRPr="003F69F2">
        <w:t xml:space="preserve"> </w:t>
      </w:r>
      <w:r w:rsidR="007A239D" w:rsidRPr="003F69F2">
        <w:t xml:space="preserve">[he] </w:t>
      </w:r>
      <w:r w:rsidRPr="003F69F2">
        <w:t xml:space="preserve">who </w:t>
      </w:r>
      <w:r w:rsidR="007A239D" w:rsidRPr="003F69F2">
        <w:t xml:space="preserve">while [you were] </w:t>
      </w:r>
      <w:r w:rsidRPr="003F69F2">
        <w:t>disbelieving did not beat you</w:t>
      </w:r>
      <w:r w:rsidR="007A239D" w:rsidRPr="003F69F2">
        <w:t>,</w:t>
      </w:r>
      <w:r w:rsidRPr="003F69F2">
        <w:t xml:space="preserve"> and </w:t>
      </w:r>
      <w:r w:rsidR="00B740C3" w:rsidRPr="003F69F2">
        <w:t>so</w:t>
      </w:r>
      <w:r w:rsidRPr="003F69F2">
        <w:t xml:space="preserve"> receive the bread of life. </w:t>
      </w:r>
      <w:r w:rsidR="003F69F2" w:rsidRPr="003F69F2">
        <w:t>And so</w:t>
      </w:r>
      <w:r w:rsidRPr="003F69F2">
        <w:t xml:space="preserve"> Thomas </w:t>
      </w:r>
      <w:r w:rsidR="00C45A28" w:rsidRPr="003F69F2">
        <w:t>had not yet tasted</w:t>
      </w:r>
      <w:r w:rsidR="00790FB4" w:rsidRPr="003F69F2">
        <w:t>,</w:t>
      </w:r>
      <w:r w:rsidRPr="003F69F2">
        <w:rPr>
          <w:rStyle w:val="FootnoteReference"/>
        </w:rPr>
        <w:footnoteReference w:id="18"/>
      </w:r>
      <w:r w:rsidRPr="003F69F2">
        <w:t xml:space="preserve"> and immediately blurted out the confession</w:t>
      </w:r>
      <w:r w:rsidR="00E969F5" w:rsidRPr="003F69F2">
        <w:t>: ‘</w:t>
      </w:r>
      <w:r w:rsidR="00E969F5" w:rsidRPr="003F69F2">
        <w:rPr>
          <w:i/>
          <w:iCs/>
        </w:rPr>
        <w:t>A</w:t>
      </w:r>
      <w:r w:rsidRPr="003F69F2">
        <w:rPr>
          <w:i/>
          <w:iCs/>
        </w:rPr>
        <w:t>nd Thomas replied</w:t>
      </w:r>
      <w:r w:rsidR="00B740C3" w:rsidRPr="003F69F2">
        <w:rPr>
          <w:i/>
          <w:iCs/>
        </w:rPr>
        <w:t>,</w:t>
      </w:r>
      <w:r w:rsidRPr="003F69F2">
        <w:rPr>
          <w:i/>
          <w:iCs/>
        </w:rPr>
        <w:t xml:space="preserve"> </w:t>
      </w:r>
      <w:r w:rsidR="00B740C3" w:rsidRPr="003F69F2">
        <w:rPr>
          <w:i/>
          <w:iCs/>
        </w:rPr>
        <w:t>saying</w:t>
      </w:r>
      <w:r w:rsidRPr="003F69F2">
        <w:rPr>
          <w:i/>
          <w:iCs/>
        </w:rPr>
        <w:t xml:space="preserve"> to him</w:t>
      </w:r>
      <w:r w:rsidR="00E969F5" w:rsidRPr="003F69F2">
        <w:rPr>
          <w:i/>
          <w:iCs/>
        </w:rPr>
        <w:t>: “</w:t>
      </w:r>
      <w:r w:rsidRPr="003F69F2">
        <w:rPr>
          <w:i/>
          <w:iCs/>
        </w:rPr>
        <w:t>My Lord and my God</w:t>
      </w:r>
      <w:r w:rsidR="00E969F5" w:rsidRPr="003F69F2">
        <w:rPr>
          <w:i/>
          <w:iCs/>
        </w:rPr>
        <w:t>”’</w:t>
      </w:r>
      <w:r w:rsidRPr="003F69F2">
        <w:t>.</w:t>
      </w:r>
      <w:r w:rsidRPr="003F69F2">
        <w:rPr>
          <w:rStyle w:val="FootnoteReference"/>
        </w:rPr>
        <w:footnoteReference w:id="19"/>
      </w:r>
      <w:r>
        <w:t xml:space="preserve"> </w:t>
      </w:r>
    </w:p>
    <w:sectPr w:rsidR="00085B06" w:rsidSect="00DC70FF"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E2" w:rsidRDefault="006D4BE2" w:rsidP="00BE5DA9">
      <w:pPr>
        <w:spacing w:after="0" w:line="240" w:lineRule="auto"/>
      </w:pPr>
      <w:r>
        <w:separator/>
      </w:r>
    </w:p>
  </w:endnote>
  <w:endnote w:type="continuationSeparator" w:id="0">
    <w:p w:rsidR="006D4BE2" w:rsidRDefault="006D4BE2" w:rsidP="00BE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E2" w:rsidRDefault="006D4BE2" w:rsidP="00BE5DA9">
      <w:pPr>
        <w:spacing w:after="0" w:line="240" w:lineRule="auto"/>
      </w:pPr>
      <w:r>
        <w:separator/>
      </w:r>
    </w:p>
  </w:footnote>
  <w:footnote w:type="continuationSeparator" w:id="0">
    <w:p w:rsidR="006D4BE2" w:rsidRDefault="006D4BE2" w:rsidP="00BE5DA9">
      <w:pPr>
        <w:spacing w:after="0" w:line="240" w:lineRule="auto"/>
      </w:pPr>
      <w:r>
        <w:continuationSeparator/>
      </w:r>
    </w:p>
  </w:footnote>
  <w:footnote w:id="1">
    <w:p w:rsidR="001544FE" w:rsidRDefault="001544FE" w:rsidP="00B17B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rPr>
          <w:noProof/>
        </w:rPr>
        <w:t>In the Hebrew MT, 11</w:t>
      </w:r>
      <w:r w:rsidR="00B17BF7">
        <w:rPr>
          <w:noProof/>
        </w:rPr>
        <w:t xml:space="preserve">7 have a superscription, 125 if one counts ‘Hallelujah’ as a title in the Hallel psalms (Pss </w:t>
      </w:r>
      <w:r w:rsidR="00B17BF7">
        <w:rPr>
          <w:rStyle w:val="st"/>
        </w:rPr>
        <w:t>113-118)</w:t>
      </w:r>
      <w:r w:rsidR="00B17BF7">
        <w:rPr>
          <w:noProof/>
        </w:rPr>
        <w:t>.</w:t>
      </w:r>
      <w:r>
        <w:rPr>
          <w:noProof/>
        </w:rPr>
        <w:t xml:space="preserve"> </w:t>
      </w:r>
    </w:p>
  </w:footnote>
  <w:footnote w:id="2">
    <w:p w:rsidR="004C182C" w:rsidRPr="00275FE1" w:rsidRDefault="004C182C" w:rsidP="00700763">
      <w:pPr>
        <w:pStyle w:val="FootnoteText"/>
        <w:rPr>
          <w:noProof/>
        </w:rPr>
      </w:pPr>
      <w:r w:rsidRPr="00700763">
        <w:rPr>
          <w:rStyle w:val="FootnoteReference"/>
        </w:rPr>
        <w:footnoteRef/>
      </w:r>
      <w:r w:rsidR="00700763">
        <w:rPr>
          <w:noProof/>
        </w:rPr>
        <w:t xml:space="preserve"> </w:t>
      </w:r>
      <w:r w:rsidR="002D1DC1">
        <w:rPr>
          <w:noProof/>
        </w:rPr>
        <w:tab/>
      </w:r>
      <w:r w:rsidR="004F4FAC" w:rsidRPr="00275FE1">
        <w:rPr>
          <w:noProof/>
        </w:rPr>
        <w:t xml:space="preserve">Patrick W. Skehan, </w:t>
      </w:r>
      <w:r w:rsidR="004F4FAC" w:rsidRPr="00700763">
        <w:rPr>
          <w:i/>
          <w:iCs/>
          <w:noProof/>
        </w:rPr>
        <w:t>The Qumran Manuscripts and Textual Criticism</w:t>
      </w:r>
      <w:r w:rsidR="004F4FAC" w:rsidRPr="00275FE1">
        <w:rPr>
          <w:noProof/>
        </w:rPr>
        <w:t xml:space="preserve"> (</w:t>
      </w:r>
      <w:r w:rsidR="00275FE1" w:rsidRPr="00275FE1">
        <w:rPr>
          <w:noProof/>
        </w:rPr>
        <w:t>VTSuppl 4</w:t>
      </w:r>
      <w:r w:rsidR="004F4FAC" w:rsidRPr="00275FE1">
        <w:rPr>
          <w:noProof/>
        </w:rPr>
        <w:t xml:space="preserve">; </w:t>
      </w:r>
      <w:smartTag w:uri="urn:schemas-microsoft-com:office:smarttags" w:element="place">
        <w:smartTag w:uri="urn:schemas-microsoft-com:office:smarttags" w:element="City">
          <w:r w:rsidR="004F4FAC" w:rsidRPr="00275FE1">
            <w:rPr>
              <w:noProof/>
            </w:rPr>
            <w:t>Leiden</w:t>
          </w:r>
        </w:smartTag>
      </w:smartTag>
      <w:r w:rsidR="004F4FAC" w:rsidRPr="00275FE1">
        <w:rPr>
          <w:noProof/>
        </w:rPr>
        <w:t>: E. J. Brill, 1956), 154. For appraisal, text and translation</w:t>
      </w:r>
      <w:r w:rsidR="009547F3" w:rsidRPr="00275FE1">
        <w:rPr>
          <w:noProof/>
        </w:rPr>
        <w:t xml:space="preserve"> of </w:t>
      </w:r>
      <w:r w:rsidR="00275FE1" w:rsidRPr="00275FE1">
        <w:rPr>
          <w:noProof/>
        </w:rPr>
        <w:t>4QP</w:t>
      </w:r>
      <w:r w:rsidR="00275FE1">
        <w:rPr>
          <w:noProof/>
        </w:rPr>
        <w:t>s</w:t>
      </w:r>
      <w:r w:rsidR="00275FE1" w:rsidRPr="00700763">
        <w:rPr>
          <w:noProof/>
        </w:rPr>
        <w:t>a</w:t>
      </w:r>
      <w:r w:rsidR="00700763" w:rsidRPr="00700763">
        <w:rPr>
          <w:noProof/>
        </w:rPr>
        <w:t xml:space="preserve"> </w:t>
      </w:r>
      <w:r w:rsidR="00700763">
        <w:rPr>
          <w:noProof/>
        </w:rPr>
        <w:t>(</w:t>
      </w:r>
      <w:r w:rsidR="00700763" w:rsidRPr="00700763">
        <w:rPr>
          <w:noProof/>
        </w:rPr>
        <w:t>= 4Q83)</w:t>
      </w:r>
      <w:r w:rsidR="00275FE1" w:rsidRPr="00275FE1">
        <w:rPr>
          <w:noProof/>
        </w:rPr>
        <w:t xml:space="preserve"> </w:t>
      </w:r>
      <w:r w:rsidR="004F4FAC" w:rsidRPr="00275FE1">
        <w:rPr>
          <w:noProof/>
        </w:rPr>
        <w:t xml:space="preserve">see </w:t>
      </w:r>
      <w:r w:rsidR="009547F3" w:rsidRPr="00275FE1">
        <w:rPr>
          <w:noProof/>
        </w:rPr>
        <w:t xml:space="preserve">Peter W. </w:t>
      </w:r>
      <w:r w:rsidR="004F4FAC" w:rsidRPr="00275FE1">
        <w:rPr>
          <w:noProof/>
        </w:rPr>
        <w:t xml:space="preserve">Flint and </w:t>
      </w:r>
      <w:r w:rsidR="009547F3" w:rsidRPr="00275FE1">
        <w:rPr>
          <w:noProof/>
        </w:rPr>
        <w:t xml:space="preserve">Andrea E. </w:t>
      </w:r>
      <w:r w:rsidR="004F4FAC" w:rsidRPr="00275FE1">
        <w:rPr>
          <w:noProof/>
        </w:rPr>
        <w:t>Alvarez</w:t>
      </w:r>
      <w:r w:rsidR="009547F3" w:rsidRPr="00275FE1">
        <w:rPr>
          <w:noProof/>
        </w:rPr>
        <w:t>,</w:t>
      </w:r>
      <w:r w:rsidR="004F4FAC" w:rsidRPr="00275FE1">
        <w:rPr>
          <w:noProof/>
        </w:rPr>
        <w:t xml:space="preserve"> </w:t>
      </w:r>
      <w:r w:rsidR="009547F3" w:rsidRPr="00275FE1">
        <w:rPr>
          <w:noProof/>
        </w:rPr>
        <w:t xml:space="preserve">“The Oldest of the Psalm Scrolls: </w:t>
      </w:r>
      <w:r w:rsidR="004F4FAC" w:rsidRPr="00275FE1">
        <w:rPr>
          <w:noProof/>
        </w:rPr>
        <w:t>The Text and Translation of 4QPS</w:t>
      </w:r>
      <w:r w:rsidR="009547F3" w:rsidRPr="00700763">
        <w:rPr>
          <w:noProof/>
        </w:rPr>
        <w:t>a</w:t>
      </w:r>
      <w:r w:rsidR="009547F3" w:rsidRPr="00275FE1">
        <w:rPr>
          <w:noProof/>
        </w:rPr>
        <w:t xml:space="preserve">,” in </w:t>
      </w:r>
      <w:r w:rsidR="009547F3" w:rsidRPr="00700763">
        <w:rPr>
          <w:i/>
          <w:iCs/>
          <w:noProof/>
        </w:rPr>
        <w:t>The Scrolls and the Scriptures: Qumran Fifty Years After</w:t>
      </w:r>
      <w:r w:rsidR="009547F3" w:rsidRPr="00275FE1">
        <w:rPr>
          <w:noProof/>
        </w:rPr>
        <w:t xml:space="preserve">, </w:t>
      </w:r>
      <w:r w:rsidR="00700763">
        <w:rPr>
          <w:noProof/>
        </w:rPr>
        <w:t>ed.</w:t>
      </w:r>
      <w:r w:rsidR="009547F3" w:rsidRPr="00275FE1">
        <w:rPr>
          <w:noProof/>
        </w:rPr>
        <w:t xml:space="preserve"> Stanley E. Porter and Craig A. Evans (</w:t>
      </w:r>
      <w:r w:rsidR="00275FE1" w:rsidRPr="00275FE1">
        <w:rPr>
          <w:noProof/>
        </w:rPr>
        <w:t xml:space="preserve">JSPSup </w:t>
      </w:r>
      <w:r w:rsidR="009547F3" w:rsidRPr="00275FE1">
        <w:rPr>
          <w:noProof/>
        </w:rPr>
        <w:t>26; Roehampton Institute London Papers 3; Sheffield: Sheffield Academic Press, 1997), 142-169.</w:t>
      </w:r>
    </w:p>
  </w:footnote>
  <w:footnote w:id="3">
    <w:p w:rsidR="001D774D" w:rsidRDefault="001D774D" w:rsidP="007007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James H. Fraser, “The Authenticity of Psalm Titles” (MTh Thesis, Grace Theological Seminary, 1984), 16.</w:t>
      </w:r>
      <w:r w:rsidR="00700763">
        <w:t xml:space="preserve"> </w:t>
      </w:r>
      <w:r w:rsidR="007F1360">
        <w:t xml:space="preserve">For text </w:t>
      </w:r>
      <w:r w:rsidR="00700763">
        <w:t xml:space="preserve">of </w:t>
      </w:r>
      <w:r w:rsidR="00700763" w:rsidRPr="00275FE1">
        <w:rPr>
          <w:noProof/>
        </w:rPr>
        <w:t>4Q</w:t>
      </w:r>
      <w:r w:rsidR="00700763">
        <w:rPr>
          <w:noProof/>
        </w:rPr>
        <w:t>p</w:t>
      </w:r>
      <w:r w:rsidR="00700763" w:rsidRPr="00275FE1">
        <w:rPr>
          <w:noProof/>
        </w:rPr>
        <w:t>P</w:t>
      </w:r>
      <w:r w:rsidR="00700763">
        <w:rPr>
          <w:noProof/>
        </w:rPr>
        <w:t>s</w:t>
      </w:r>
      <w:r w:rsidR="00700763" w:rsidRPr="00275FE1">
        <w:rPr>
          <w:noProof/>
          <w:vertAlign w:val="superscript"/>
        </w:rPr>
        <w:t>a</w:t>
      </w:r>
      <w:r w:rsidR="00700763">
        <w:rPr>
          <w:noProof/>
          <w:vertAlign w:val="superscript"/>
        </w:rPr>
        <w:t xml:space="preserve"> </w:t>
      </w:r>
      <w:r w:rsidR="00700763">
        <w:rPr>
          <w:noProof/>
        </w:rPr>
        <w:t xml:space="preserve">(= </w:t>
      </w:r>
      <w:r w:rsidR="00700763">
        <w:rPr>
          <w:rFonts w:ascii="Calibri" w:eastAsia="Calibri" w:hAnsi="Calibri" w:cs="Arial"/>
        </w:rPr>
        <w:t xml:space="preserve">4Q171) </w:t>
      </w:r>
      <w:r w:rsidR="007F1360">
        <w:t xml:space="preserve">see </w:t>
      </w:r>
      <w:proofErr w:type="spellStart"/>
      <w:r w:rsidR="007F1360" w:rsidRPr="007F1360">
        <w:t>Florentino</w:t>
      </w:r>
      <w:proofErr w:type="spellEnd"/>
      <w:r w:rsidR="007F1360" w:rsidRPr="007F1360">
        <w:t xml:space="preserve"> </w:t>
      </w:r>
      <w:proofErr w:type="spellStart"/>
      <w:r w:rsidR="007F1360" w:rsidRPr="007F1360">
        <w:t>García</w:t>
      </w:r>
      <w:proofErr w:type="spellEnd"/>
      <w:r w:rsidR="007F1360" w:rsidRPr="007F1360">
        <w:t xml:space="preserve"> </w:t>
      </w:r>
      <w:proofErr w:type="spellStart"/>
      <w:r w:rsidR="007F1360" w:rsidRPr="007F1360">
        <w:t>Martínez</w:t>
      </w:r>
      <w:proofErr w:type="spellEnd"/>
      <w:r w:rsidR="007F1360">
        <w:t xml:space="preserve">, </w:t>
      </w:r>
      <w:r w:rsidR="007F1360" w:rsidRPr="007F1360">
        <w:rPr>
          <w:i/>
          <w:iCs/>
        </w:rPr>
        <w:t>The Dead Sea Scrolls Translated: The Qumran Texts in English</w:t>
      </w:r>
      <w:r w:rsidR="007F1360">
        <w:t>, 2nd. (Leiden: Brill, 1996), 206.</w:t>
      </w:r>
    </w:p>
  </w:footnote>
  <w:footnote w:id="4">
    <w:p w:rsidR="00495ABE" w:rsidRPr="00E726CA" w:rsidRDefault="00495ABE" w:rsidP="00E566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 w:rsidR="00E56686">
        <w:t>The reasons for</w:t>
      </w:r>
      <w:r w:rsidR="009C0F33">
        <w:t xml:space="preserve"> this</w:t>
      </w:r>
      <w:r w:rsidR="00B740C3">
        <w:t xml:space="preserve"> apparent</w:t>
      </w:r>
      <w:r w:rsidR="00E56686">
        <w:t xml:space="preserve"> discrepancy need not concern us here.</w:t>
      </w:r>
    </w:p>
  </w:footnote>
  <w:footnote w:id="5">
    <w:p w:rsidR="00085B06" w:rsidRDefault="00085B06" w:rsidP="002F7B5F">
      <w:pPr>
        <w:pStyle w:val="FootnoteText"/>
      </w:pPr>
      <w:r>
        <w:rPr>
          <w:rStyle w:val="FootnoteReference"/>
        </w:rPr>
        <w:footnoteRef/>
      </w:r>
      <w:r w:rsidR="00907062">
        <w:t xml:space="preserve"> </w:t>
      </w:r>
      <w:r w:rsidR="002D1DC1">
        <w:tab/>
      </w:r>
      <w:r w:rsidR="00FC0C25">
        <w:t>Ps 11 (=12):1 LXX.</w:t>
      </w:r>
      <w:r w:rsidR="004A5337">
        <w:t xml:space="preserve"> </w:t>
      </w:r>
      <w:r w:rsidR="00907062">
        <w:t>Other translations possible</w:t>
      </w:r>
      <w:r w:rsidR="002F7B5F">
        <w:t>, e.g.</w:t>
      </w:r>
      <w:r w:rsidR="00907062">
        <w:t xml:space="preserve"> ‘concerning completion,</w:t>
      </w:r>
      <w:r w:rsidR="002F7B5F">
        <w:t xml:space="preserve"> </w:t>
      </w:r>
      <w:r>
        <w:t>over the eighth</w:t>
      </w:r>
      <w:r w:rsidR="00907062">
        <w:t>’; ‘for the end, concerning the eighth’.</w:t>
      </w:r>
    </w:p>
  </w:footnote>
  <w:footnote w:id="6">
    <w:p w:rsidR="00085B06" w:rsidRPr="00851693" w:rsidRDefault="00085B06" w:rsidP="004A53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 xml:space="preserve">The verb used here is </w:t>
      </w:r>
      <w:r>
        <w:rPr>
          <w:lang w:val="el-GR"/>
        </w:rPr>
        <w:t>περιτέμνω</w:t>
      </w:r>
      <w:r>
        <w:t xml:space="preserve"> </w:t>
      </w:r>
      <w:r w:rsidR="002F7B5F">
        <w:t>(</w:t>
      </w:r>
      <w:proofErr w:type="spellStart"/>
      <w:r>
        <w:rPr>
          <w:i/>
          <w:iCs/>
        </w:rPr>
        <w:t>peritemn</w:t>
      </w:r>
      <w:r w:rsidRPr="00851693">
        <w:rPr>
          <w:i/>
          <w:iCs/>
        </w:rPr>
        <w:t>ō</w:t>
      </w:r>
      <w:proofErr w:type="spellEnd"/>
      <w:r>
        <w:rPr>
          <w:i/>
          <w:iCs/>
        </w:rPr>
        <w:t xml:space="preserve"> </w:t>
      </w:r>
      <w:r w:rsidR="002F7B5F">
        <w:t>) ‘cut around, cut away’</w:t>
      </w:r>
      <w:r w:rsidR="004A5337">
        <w:t xml:space="preserve">. It </w:t>
      </w:r>
      <w:r w:rsidR="002F7B5F">
        <w:t>can also mean</w:t>
      </w:r>
      <w:r w:rsidR="004A5337">
        <w:t xml:space="preserve"> ‘</w:t>
      </w:r>
      <w:r w:rsidR="002D1DC1">
        <w:t xml:space="preserve">circumcise’, </w:t>
      </w:r>
      <w:r w:rsidR="00242CBD">
        <w:t>which in some contexts connotes</w:t>
      </w:r>
      <w:r w:rsidR="002D1DC1">
        <w:t xml:space="preserve"> conversion.</w:t>
      </w:r>
      <w:r w:rsidR="004A5337">
        <w:t xml:space="preserve"> </w:t>
      </w:r>
    </w:p>
  </w:footnote>
  <w:footnote w:id="7">
    <w:p w:rsidR="00C45A28" w:rsidRDefault="00C45A28" w:rsidP="002D1D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 w:rsidRPr="00242CBD">
        <w:t xml:space="preserve">See note </w:t>
      </w:r>
      <w:r w:rsidR="002D1DC1" w:rsidRPr="00242CBD">
        <w:t>2</w:t>
      </w:r>
      <w:r w:rsidRPr="00242CBD">
        <w:t>.</w:t>
      </w:r>
    </w:p>
  </w:footnote>
  <w:footnote w:id="8">
    <w:p w:rsidR="00242CBD" w:rsidRDefault="00242C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Or ‘by faith’.</w:t>
      </w:r>
    </w:p>
  </w:footnote>
  <w:footnote w:id="9">
    <w:p w:rsidR="00085B06" w:rsidRPr="00B44094" w:rsidRDefault="00085B06" w:rsidP="00085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John 20:25.</w:t>
      </w:r>
    </w:p>
  </w:footnote>
  <w:footnote w:id="10">
    <w:p w:rsidR="007A239D" w:rsidRPr="00242CBD" w:rsidRDefault="007A23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Or ‘</w:t>
      </w:r>
      <w:r w:rsidRPr="00242CBD">
        <w:t>sword’</w:t>
      </w:r>
      <w:r w:rsidR="00790FB4" w:rsidRPr="00242CBD">
        <w:t>.</w:t>
      </w:r>
    </w:p>
  </w:footnote>
  <w:footnote w:id="11">
    <w:p w:rsidR="007A239D" w:rsidRPr="007A239D" w:rsidRDefault="007A239D" w:rsidP="002D1DC1">
      <w:pPr>
        <w:pStyle w:val="FootnoteText"/>
      </w:pPr>
      <w:r w:rsidRPr="00242CBD">
        <w:rPr>
          <w:rStyle w:val="FootnoteReference"/>
        </w:rPr>
        <w:footnoteRef/>
      </w:r>
      <w:r w:rsidRPr="00242CBD">
        <w:t xml:space="preserve"> </w:t>
      </w:r>
      <w:r w:rsidR="002D1DC1" w:rsidRPr="00242CBD">
        <w:tab/>
      </w:r>
      <w:r w:rsidRPr="00242CBD">
        <w:t xml:space="preserve">See note </w:t>
      </w:r>
      <w:r w:rsidR="002D1DC1" w:rsidRPr="00242CBD">
        <w:t>2</w:t>
      </w:r>
      <w:r w:rsidRPr="00242CBD">
        <w:t>.</w:t>
      </w:r>
    </w:p>
  </w:footnote>
  <w:footnote w:id="12">
    <w:p w:rsidR="002F7B5F" w:rsidRDefault="002F7B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John 20:28.</w:t>
      </w:r>
    </w:p>
  </w:footnote>
  <w:footnote w:id="13">
    <w:p w:rsidR="00085B06" w:rsidRDefault="00085B06" w:rsidP="00790F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John 20:26.</w:t>
      </w:r>
    </w:p>
  </w:footnote>
  <w:footnote w:id="14">
    <w:p w:rsidR="007A239D" w:rsidRDefault="007A23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 w:rsidR="00790FB4">
        <w:t xml:space="preserve">John 20:27. </w:t>
      </w:r>
      <w:r w:rsidRPr="002F7B5F">
        <w:t>Lit. ‘</w:t>
      </w:r>
      <w:r>
        <w:t xml:space="preserve">Bring your hand </w:t>
      </w:r>
      <w:r w:rsidRPr="002F7B5F">
        <w:t>to my side</w:t>
      </w:r>
      <w:r w:rsidR="00790FB4">
        <w:t xml:space="preserve"> </w:t>
      </w:r>
      <w:r w:rsidRPr="002F7B5F">
        <w:t>’.</w:t>
      </w:r>
    </w:p>
  </w:footnote>
  <w:footnote w:id="15">
    <w:p w:rsidR="00085B06" w:rsidRDefault="00085B06" w:rsidP="00085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M</w:t>
      </w:r>
      <w:r w:rsidR="00790FB4">
        <w:t>att</w:t>
      </w:r>
      <w:r>
        <w:t xml:space="preserve"> 27:25</w:t>
      </w:r>
    </w:p>
  </w:footnote>
  <w:footnote w:id="16">
    <w:p w:rsidR="003F69F2" w:rsidRDefault="003F69F2" w:rsidP="00242C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>Cf. Matt 27</w:t>
      </w:r>
      <w:r w:rsidR="00242CBD">
        <w:t>:</w:t>
      </w:r>
      <w:r>
        <w:t>24.</w:t>
      </w:r>
    </w:p>
  </w:footnote>
  <w:footnote w:id="17">
    <w:p w:rsidR="007A239D" w:rsidRDefault="007A239D" w:rsidP="00790F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 w:rsidRPr="007A239D">
        <w:t>Ps 33:9 (=34:8 MT) LXX</w:t>
      </w:r>
      <w:r w:rsidR="00C45A28">
        <w:t xml:space="preserve"> cf. 1 Pet</w:t>
      </w:r>
      <w:r w:rsidR="002D1DC1">
        <w:t xml:space="preserve"> 2:3.</w:t>
      </w:r>
      <w:r>
        <w:t xml:space="preserve"> The verb used here </w:t>
      </w:r>
      <w:r w:rsidR="00790FB4">
        <w:t xml:space="preserve">is </w:t>
      </w:r>
      <w:proofErr w:type="spellStart"/>
      <w:r w:rsidRPr="004067F1">
        <w:t>γεύω</w:t>
      </w:r>
      <w:proofErr w:type="spellEnd"/>
      <w:r w:rsidRPr="004067F1">
        <w:t xml:space="preserve"> </w:t>
      </w:r>
      <w:r w:rsidR="00790FB4">
        <w:t>(</w:t>
      </w:r>
      <w:proofErr w:type="spellStart"/>
      <w:r w:rsidR="00790FB4" w:rsidRPr="00790FB4">
        <w:rPr>
          <w:i/>
          <w:iCs/>
        </w:rPr>
        <w:t>geu</w:t>
      </w:r>
      <w:r w:rsidR="00790FB4" w:rsidRPr="00851693">
        <w:rPr>
          <w:i/>
          <w:iCs/>
        </w:rPr>
        <w:t>ō</w:t>
      </w:r>
      <w:proofErr w:type="spellEnd"/>
      <w:r w:rsidR="00790FB4">
        <w:t xml:space="preserve">) </w:t>
      </w:r>
      <w:r>
        <w:t>‘give a taste of</w:t>
      </w:r>
      <w:r w:rsidR="00242CBD">
        <w:t>’</w:t>
      </w:r>
      <w:r w:rsidR="00790FB4">
        <w:t>; mid.</w:t>
      </w:r>
      <w:r>
        <w:t xml:space="preserve"> ‘taste, feel, make proof of’. </w:t>
      </w:r>
    </w:p>
  </w:footnote>
  <w:footnote w:id="18">
    <w:p w:rsidR="00085B06" w:rsidRPr="00FE7A46" w:rsidRDefault="00085B06" w:rsidP="00242C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>
        <w:t xml:space="preserve">The verb </w:t>
      </w:r>
      <w:proofErr w:type="spellStart"/>
      <w:r w:rsidR="00790FB4" w:rsidRPr="004067F1">
        <w:t>γεύω</w:t>
      </w:r>
      <w:proofErr w:type="spellEnd"/>
      <w:r w:rsidR="00790FB4" w:rsidRPr="004067F1">
        <w:t xml:space="preserve"> </w:t>
      </w:r>
      <w:r w:rsidR="00790FB4">
        <w:t>(</w:t>
      </w:r>
      <w:proofErr w:type="spellStart"/>
      <w:r w:rsidR="00790FB4" w:rsidRPr="00790FB4">
        <w:rPr>
          <w:i/>
          <w:iCs/>
        </w:rPr>
        <w:t>geu</w:t>
      </w:r>
      <w:r w:rsidR="00790FB4" w:rsidRPr="00851693">
        <w:rPr>
          <w:i/>
          <w:iCs/>
        </w:rPr>
        <w:t>ō</w:t>
      </w:r>
      <w:proofErr w:type="spellEnd"/>
      <w:r w:rsidR="00790FB4">
        <w:t xml:space="preserve">) </w:t>
      </w:r>
      <w:r w:rsidR="00242CBD">
        <w:t>again. See note 13.</w:t>
      </w:r>
      <w:r w:rsidR="00790FB4">
        <w:t xml:space="preserve"> </w:t>
      </w:r>
    </w:p>
  </w:footnote>
  <w:footnote w:id="19">
    <w:p w:rsidR="00085B06" w:rsidRDefault="00085B06" w:rsidP="00E969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DC1">
        <w:tab/>
      </w:r>
      <w:r w:rsidR="00242CBD">
        <w:t xml:space="preserve">John 20: </w:t>
      </w:r>
      <w:r w:rsidR="00E969F5">
        <w:t>28.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10"/>
    <w:rsid w:val="000603A0"/>
    <w:rsid w:val="00085B06"/>
    <w:rsid w:val="00095A91"/>
    <w:rsid w:val="000B0B65"/>
    <w:rsid w:val="000D2F7D"/>
    <w:rsid w:val="00154271"/>
    <w:rsid w:val="001544FE"/>
    <w:rsid w:val="001B44DE"/>
    <w:rsid w:val="001D774D"/>
    <w:rsid w:val="00205702"/>
    <w:rsid w:val="00242CBD"/>
    <w:rsid w:val="0027326D"/>
    <w:rsid w:val="00275FE1"/>
    <w:rsid w:val="00277D85"/>
    <w:rsid w:val="002C62E7"/>
    <w:rsid w:val="002D1DC1"/>
    <w:rsid w:val="002E7037"/>
    <w:rsid w:val="002F7B5F"/>
    <w:rsid w:val="003363FC"/>
    <w:rsid w:val="0034095F"/>
    <w:rsid w:val="003528C3"/>
    <w:rsid w:val="003C28EF"/>
    <w:rsid w:val="003F238C"/>
    <w:rsid w:val="003F69F2"/>
    <w:rsid w:val="004067F1"/>
    <w:rsid w:val="00495ABE"/>
    <w:rsid w:val="00495F51"/>
    <w:rsid w:val="004A5337"/>
    <w:rsid w:val="004C182C"/>
    <w:rsid w:val="004F4FAC"/>
    <w:rsid w:val="005752A8"/>
    <w:rsid w:val="005768CB"/>
    <w:rsid w:val="005E29A2"/>
    <w:rsid w:val="00611CD7"/>
    <w:rsid w:val="006308FB"/>
    <w:rsid w:val="00653D15"/>
    <w:rsid w:val="00684B74"/>
    <w:rsid w:val="006B6CFC"/>
    <w:rsid w:val="006B70A4"/>
    <w:rsid w:val="006C251B"/>
    <w:rsid w:val="006D4BE2"/>
    <w:rsid w:val="006F6C8A"/>
    <w:rsid w:val="00700763"/>
    <w:rsid w:val="00754677"/>
    <w:rsid w:val="00763747"/>
    <w:rsid w:val="00790FB4"/>
    <w:rsid w:val="00795B1A"/>
    <w:rsid w:val="007A239D"/>
    <w:rsid w:val="007C5CAA"/>
    <w:rsid w:val="007F1360"/>
    <w:rsid w:val="00851693"/>
    <w:rsid w:val="00907062"/>
    <w:rsid w:val="00911628"/>
    <w:rsid w:val="00930F6C"/>
    <w:rsid w:val="009547F3"/>
    <w:rsid w:val="009B159E"/>
    <w:rsid w:val="009C0F33"/>
    <w:rsid w:val="009D5171"/>
    <w:rsid w:val="009E082D"/>
    <w:rsid w:val="009F7FD7"/>
    <w:rsid w:val="00A50BAE"/>
    <w:rsid w:val="00A65949"/>
    <w:rsid w:val="00B17BF7"/>
    <w:rsid w:val="00B44094"/>
    <w:rsid w:val="00B502AE"/>
    <w:rsid w:val="00B705D5"/>
    <w:rsid w:val="00B740C3"/>
    <w:rsid w:val="00BE5DA9"/>
    <w:rsid w:val="00C45A28"/>
    <w:rsid w:val="00CC5A21"/>
    <w:rsid w:val="00D2556C"/>
    <w:rsid w:val="00D50D8C"/>
    <w:rsid w:val="00DB575E"/>
    <w:rsid w:val="00DC70FF"/>
    <w:rsid w:val="00E43A83"/>
    <w:rsid w:val="00E56686"/>
    <w:rsid w:val="00E726CA"/>
    <w:rsid w:val="00E87442"/>
    <w:rsid w:val="00E9422E"/>
    <w:rsid w:val="00E969F5"/>
    <w:rsid w:val="00F27525"/>
    <w:rsid w:val="00F33DA8"/>
    <w:rsid w:val="00F64710"/>
    <w:rsid w:val="00F64F07"/>
    <w:rsid w:val="00FA15B6"/>
    <w:rsid w:val="00FC0C25"/>
    <w:rsid w:val="00FC1DBC"/>
    <w:rsid w:val="00F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C1"/>
  </w:style>
  <w:style w:type="paragraph" w:styleId="Heading1">
    <w:name w:val="heading 1"/>
    <w:basedOn w:val="Normal"/>
    <w:next w:val="Normal"/>
    <w:link w:val="Heading1Char"/>
    <w:uiPriority w:val="9"/>
    <w:qFormat/>
    <w:rsid w:val="00630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3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65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33DA8"/>
  </w:style>
  <w:style w:type="character" w:customStyle="1" w:styleId="Heading4Char">
    <w:name w:val="Heading 4 Char"/>
    <w:basedOn w:val="DefaultParagraphFont"/>
    <w:link w:val="Heading4"/>
    <w:uiPriority w:val="9"/>
    <w:rsid w:val="00653D1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text">
    <w:name w:val="text"/>
    <w:basedOn w:val="DefaultParagraphFont"/>
    <w:rsid w:val="00653D15"/>
  </w:style>
  <w:style w:type="paragraph" w:styleId="FootnoteText">
    <w:name w:val="footnote text"/>
    <w:basedOn w:val="Normal"/>
    <w:link w:val="FootnoteTextChar"/>
    <w:uiPriority w:val="99"/>
    <w:semiHidden/>
    <w:unhideWhenUsed/>
    <w:rsid w:val="002D1DC1"/>
    <w:pPr>
      <w:spacing w:before="120" w:after="120" w:line="240" w:lineRule="auto"/>
      <w:ind w:left="380" w:hanging="3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DA9"/>
    <w:rPr>
      <w:vertAlign w:val="superscript"/>
    </w:rPr>
  </w:style>
  <w:style w:type="character" w:customStyle="1" w:styleId="verse">
    <w:name w:val="verse"/>
    <w:basedOn w:val="DefaultParagraphFont"/>
    <w:rsid w:val="009D5171"/>
  </w:style>
  <w:style w:type="character" w:customStyle="1" w:styleId="greek">
    <w:name w:val="greek"/>
    <w:basedOn w:val="DefaultParagraphFont"/>
    <w:rsid w:val="009D5171"/>
  </w:style>
  <w:style w:type="paragraph" w:styleId="NormalWeb">
    <w:name w:val="Normal (Web)"/>
    <w:basedOn w:val="Normal"/>
    <w:uiPriority w:val="99"/>
    <w:unhideWhenUsed/>
    <w:rsid w:val="0057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b">
    <w:name w:val="heb"/>
    <w:basedOn w:val="DefaultParagraphFont"/>
    <w:rsid w:val="00E726CA"/>
  </w:style>
  <w:style w:type="character" w:customStyle="1" w:styleId="hebrew">
    <w:name w:val="hebrew"/>
    <w:basedOn w:val="DefaultParagraphFont"/>
    <w:rsid w:val="00E726CA"/>
  </w:style>
  <w:style w:type="character" w:customStyle="1" w:styleId="Heading1Char">
    <w:name w:val="Heading 1 Char"/>
    <w:basedOn w:val="DefaultParagraphFont"/>
    <w:link w:val="Heading1"/>
    <w:uiPriority w:val="9"/>
    <w:rsid w:val="0063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2556C"/>
    <w:rPr>
      <w:i/>
      <w:iCs/>
    </w:rPr>
  </w:style>
  <w:style w:type="character" w:styleId="Hyperlink">
    <w:name w:val="Hyperlink"/>
    <w:basedOn w:val="DefaultParagraphFont"/>
    <w:uiPriority w:val="99"/>
    <w:unhideWhenUsed/>
    <w:rsid w:val="00D255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4F4F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4F4FAC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customStyle="1" w:styleId="Style1">
    <w:name w:val="Style1"/>
    <w:basedOn w:val="FootnoteText"/>
    <w:link w:val="Style1Char"/>
    <w:qFormat/>
    <w:rsid w:val="002D1DC1"/>
    <w:pPr>
      <w:ind w:left="323" w:hanging="323"/>
    </w:pPr>
    <w:rPr>
      <w:noProof/>
    </w:rPr>
  </w:style>
  <w:style w:type="character" w:customStyle="1" w:styleId="Style1Char">
    <w:name w:val="Style1 Char"/>
    <w:basedOn w:val="FootnoteTextChar"/>
    <w:link w:val="Style1"/>
    <w:rsid w:val="002D1DC1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9D9607-ACBB-4BC0-B718-6D9579B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3</cp:revision>
  <dcterms:created xsi:type="dcterms:W3CDTF">2015-07-09T09:56:00Z</dcterms:created>
  <dcterms:modified xsi:type="dcterms:W3CDTF">2015-07-09T10:05:00Z</dcterms:modified>
</cp:coreProperties>
</file>